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4264"/>
        <w:gridCol w:w="6095"/>
      </w:tblGrid>
      <w:tr w:rsidR="0041353D">
        <w:trPr>
          <w:trHeight w:val="2516"/>
        </w:trPr>
        <w:tc>
          <w:tcPr>
            <w:tcW w:w="4264" w:type="dxa"/>
          </w:tcPr>
          <w:p w:rsidR="0041353D" w:rsidRDefault="00647645">
            <w:pPr>
              <w:ind w:left="-900" w:firstLine="900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247900" cy="1681353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2247900" cy="1681353"/>
                          </a:xfrm>
                          <a:prstGeom prst="rect">
                            <a:avLst/>
                          </a:prstGeom>
                          <a:noFill/>
                          <a:ln w="2286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left w:val="none" w:sz="4" w:space="0" w:color="000000"/>
            </w:tcBorders>
          </w:tcPr>
          <w:p w:rsidR="0041353D" w:rsidRDefault="0041353D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41353D" w:rsidRDefault="00647645">
            <w:pPr>
              <w:jc w:val="center"/>
              <w:rPr>
                <w:b/>
                <w:color w:val="215868"/>
                <w:sz w:val="28"/>
                <w:szCs w:val="28"/>
              </w:rPr>
            </w:pPr>
            <w:r>
              <w:rPr>
                <w:b/>
                <w:color w:val="215868"/>
                <w:sz w:val="28"/>
                <w:szCs w:val="28"/>
              </w:rPr>
              <w:t xml:space="preserve">ПАМЯТКА </w:t>
            </w:r>
          </w:p>
          <w:p w:rsidR="0041353D" w:rsidRDefault="0041353D">
            <w:pPr>
              <w:ind w:left="70"/>
              <w:jc w:val="center"/>
              <w:rPr>
                <w:color w:val="4A442A"/>
                <w:sz w:val="16"/>
                <w:szCs w:val="16"/>
              </w:rPr>
            </w:pPr>
          </w:p>
          <w:p w:rsidR="0041353D" w:rsidRDefault="00647645">
            <w:pPr>
              <w:ind w:left="495"/>
              <w:jc w:val="center"/>
              <w:outlineLvl w:val="0"/>
              <w:rPr>
                <w:color w:val="632423"/>
              </w:rPr>
            </w:pPr>
            <w:r>
              <w:rPr>
                <w:color w:val="632423"/>
              </w:rPr>
              <w:t xml:space="preserve">О ежемесячной денежной выплате к пенсии лицам, удостоенным знака отличия </w:t>
            </w:r>
            <w:r>
              <w:rPr>
                <w:color w:val="632423"/>
              </w:rPr>
              <w:br w:type="textWrapping" w:clear="all"/>
              <w:t xml:space="preserve">«За заслуги перед Иркутской областью», </w:t>
            </w:r>
          </w:p>
          <w:p w:rsidR="0041353D" w:rsidRDefault="00647645">
            <w:pPr>
              <w:ind w:left="495"/>
              <w:jc w:val="center"/>
              <w:outlineLvl w:val="0"/>
              <w:rPr>
                <w:b/>
                <w:color w:val="771F27"/>
              </w:rPr>
            </w:pPr>
            <w:r>
              <w:rPr>
                <w:color w:val="632423"/>
              </w:rPr>
              <w:t xml:space="preserve">почетного звания </w:t>
            </w:r>
            <w:r>
              <w:rPr>
                <w:color w:val="632423"/>
              </w:rPr>
              <w:br w:type="textWrapping" w:clear="all"/>
              <w:t>«Почетный гражданин Иркутской области»</w:t>
            </w:r>
          </w:p>
        </w:tc>
      </w:tr>
    </w:tbl>
    <w:p w:rsidR="0041353D" w:rsidRDefault="0041353D">
      <w:pPr>
        <w:jc w:val="center"/>
      </w:pPr>
    </w:p>
    <w:p w:rsidR="0041353D" w:rsidRDefault="00647645">
      <w:pPr>
        <w:jc w:val="center"/>
        <w:rPr>
          <w:b/>
          <w:color w:val="215868"/>
          <w:sz w:val="22"/>
          <w:szCs w:val="22"/>
        </w:rPr>
      </w:pPr>
      <w:r>
        <w:rPr>
          <w:b/>
          <w:color w:val="215868"/>
          <w:sz w:val="22"/>
          <w:szCs w:val="22"/>
        </w:rPr>
        <w:t>ЗАКОН ИРКУТСКОЙ ОБЛАСТИ</w:t>
      </w:r>
    </w:p>
    <w:p w:rsidR="0041353D" w:rsidRDefault="00647645">
      <w:pPr>
        <w:jc w:val="center"/>
        <w:rPr>
          <w:b/>
          <w:color w:val="215868"/>
          <w:sz w:val="22"/>
          <w:szCs w:val="22"/>
        </w:rPr>
      </w:pPr>
      <w:r>
        <w:rPr>
          <w:b/>
          <w:color w:val="215868"/>
          <w:sz w:val="22"/>
          <w:szCs w:val="22"/>
        </w:rPr>
        <w:t xml:space="preserve">«О НАГРАДАХ ИРКУТСКОЙ ОБЛАСТИ И ПОЧЕТНЫХ ЗВАНИЯХ </w:t>
      </w:r>
    </w:p>
    <w:p w:rsidR="0041353D" w:rsidRDefault="00647645">
      <w:pPr>
        <w:jc w:val="center"/>
        <w:rPr>
          <w:b/>
          <w:color w:val="215868"/>
          <w:sz w:val="22"/>
          <w:szCs w:val="22"/>
        </w:rPr>
      </w:pPr>
      <w:r>
        <w:rPr>
          <w:b/>
          <w:color w:val="215868"/>
          <w:sz w:val="22"/>
          <w:szCs w:val="22"/>
        </w:rPr>
        <w:t xml:space="preserve">ИРКУТСКОЙ ОБЛАСТИ» </w:t>
      </w:r>
    </w:p>
    <w:p w:rsidR="0041353D" w:rsidRDefault="00647645">
      <w:pPr>
        <w:jc w:val="center"/>
        <w:rPr>
          <w:b/>
          <w:bCs/>
          <w:color w:val="602E04"/>
        </w:rPr>
      </w:pPr>
      <w:r>
        <w:rPr>
          <w:b/>
          <w:bCs/>
          <w:color w:val="602E04"/>
        </w:rPr>
        <w:t>от 24 декабря 2010 года N 141-ОЗ</w:t>
      </w:r>
    </w:p>
    <w:p w:rsidR="0041353D" w:rsidRDefault="0041353D">
      <w:pPr>
        <w:jc w:val="center"/>
        <w:rPr>
          <w:color w:val="5F497A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DE9D9"/>
        <w:tblLook w:val="01E0" w:firstRow="1" w:lastRow="1" w:firstColumn="1" w:lastColumn="1" w:noHBand="0" w:noVBand="0"/>
      </w:tblPr>
      <w:tblGrid>
        <w:gridCol w:w="2410"/>
        <w:gridCol w:w="7655"/>
      </w:tblGrid>
      <w:tr w:rsidR="0041353D">
        <w:tc>
          <w:tcPr>
            <w:tcW w:w="2410" w:type="dxa"/>
            <w:shd w:val="clear" w:color="auto" w:fill="FDE9D9"/>
          </w:tcPr>
          <w:p w:rsidR="0041353D" w:rsidRDefault="00647645">
            <w:pPr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>1. Категории граждан</w:t>
            </w:r>
          </w:p>
        </w:tc>
        <w:tc>
          <w:tcPr>
            <w:tcW w:w="7655" w:type="dxa"/>
            <w:shd w:val="clear" w:color="auto" w:fill="FDE9D9"/>
          </w:tcPr>
          <w:p w:rsidR="0041353D" w:rsidRDefault="00647645">
            <w:pPr>
              <w:ind w:firstLine="317"/>
              <w:jc w:val="both"/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 xml:space="preserve">Пенсионеры, получающие страховую пенсию по старости (инвалидности), пенсию за выслугу лет в соответствии с </w:t>
            </w:r>
            <w:hyperlink r:id="rId9" w:history="1">
              <w:r>
                <w:rPr>
                  <w:color w:val="602E04"/>
                  <w:sz w:val="23"/>
                  <w:szCs w:val="23"/>
                </w:rPr>
                <w:t>Законом</w:t>
              </w:r>
            </w:hyperlink>
            <w:r>
              <w:rPr>
                <w:color w:val="602E04"/>
                <w:sz w:val="23"/>
                <w:szCs w:val="23"/>
              </w:rPr>
              <w:t xml:space="preserve"> Российской Федерации от 12 февраля 1993 года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семей» (далее – Закон № 4468-1), удостоенные знака отличия «За заслуги перед Иркутской областью», почетного звания «Почетный гражданин Иркутской области», почетного звания «Почетный гражданин Усть-Ордынского Бурятского автономного округа», Почетного знака Юрия Абрамовича Ножикова «ПРИЗНАНИЕ»</w:t>
            </w:r>
          </w:p>
          <w:p w:rsidR="0041353D" w:rsidRDefault="00647645">
            <w:pPr>
              <w:jc w:val="both"/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 xml:space="preserve"> </w:t>
            </w:r>
          </w:p>
        </w:tc>
      </w:tr>
      <w:tr w:rsidR="0041353D">
        <w:tc>
          <w:tcPr>
            <w:tcW w:w="2410" w:type="dxa"/>
            <w:shd w:val="clear" w:color="auto" w:fill="FDE9D9"/>
          </w:tcPr>
          <w:p w:rsidR="0041353D" w:rsidRDefault="00647645">
            <w:pPr>
              <w:outlineLvl w:val="0"/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>2. Мера социальной поддержки</w:t>
            </w:r>
          </w:p>
        </w:tc>
        <w:tc>
          <w:tcPr>
            <w:tcW w:w="7655" w:type="dxa"/>
            <w:shd w:val="clear" w:color="auto" w:fill="FDE9D9"/>
          </w:tcPr>
          <w:p w:rsidR="0041353D" w:rsidRDefault="00647645">
            <w:pPr>
              <w:ind w:firstLine="317"/>
              <w:jc w:val="both"/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 xml:space="preserve">Ежемесячная денежная выплата </w:t>
            </w:r>
          </w:p>
          <w:p w:rsidR="0041353D" w:rsidRDefault="0041353D">
            <w:pPr>
              <w:ind w:firstLine="317"/>
              <w:jc w:val="both"/>
              <w:rPr>
                <w:color w:val="602E04"/>
                <w:sz w:val="23"/>
                <w:szCs w:val="23"/>
              </w:rPr>
            </w:pPr>
          </w:p>
        </w:tc>
      </w:tr>
      <w:tr w:rsidR="0041353D">
        <w:tc>
          <w:tcPr>
            <w:tcW w:w="2410" w:type="dxa"/>
            <w:shd w:val="clear" w:color="auto" w:fill="FDE9D9"/>
          </w:tcPr>
          <w:p w:rsidR="0041353D" w:rsidRDefault="00647645">
            <w:pPr>
              <w:jc w:val="both"/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 xml:space="preserve">3. Размер выплаты </w:t>
            </w:r>
          </w:p>
          <w:p w:rsidR="0041353D" w:rsidRDefault="00647645" w:rsidP="00FF0E27">
            <w:pPr>
              <w:jc w:val="both"/>
              <w:rPr>
                <w:b/>
                <w:color w:val="602E04"/>
                <w:sz w:val="23"/>
                <w:szCs w:val="23"/>
              </w:rPr>
            </w:pPr>
            <w:r>
              <w:rPr>
                <w:b/>
                <w:color w:val="602E04"/>
                <w:sz w:val="23"/>
                <w:szCs w:val="23"/>
              </w:rPr>
              <w:t>с 1 января 202</w:t>
            </w:r>
            <w:r w:rsidR="00FF0E27">
              <w:rPr>
                <w:b/>
                <w:color w:val="602E04"/>
                <w:sz w:val="23"/>
                <w:szCs w:val="23"/>
              </w:rPr>
              <w:t>5</w:t>
            </w:r>
            <w:r>
              <w:rPr>
                <w:b/>
                <w:color w:val="602E04"/>
                <w:sz w:val="23"/>
                <w:szCs w:val="23"/>
              </w:rPr>
              <w:t xml:space="preserve"> года</w:t>
            </w:r>
          </w:p>
        </w:tc>
        <w:tc>
          <w:tcPr>
            <w:tcW w:w="7655" w:type="dxa"/>
            <w:shd w:val="clear" w:color="auto" w:fill="FDE9D9"/>
          </w:tcPr>
          <w:p w:rsidR="0041353D" w:rsidRDefault="00647645">
            <w:pPr>
              <w:ind w:firstLine="317"/>
              <w:jc w:val="both"/>
              <w:rPr>
                <w:b/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 xml:space="preserve">1. Пенсионерам, получающим страховую пенсию по старости (инвалидности), пенсию за выслугу лет в соответствии с Законом                         № 4468-1, удостоенным знака отличия «За заслуги перед Иркутской областью», предоставляется в размере </w:t>
            </w:r>
            <w:r w:rsidR="00FF0E27" w:rsidRPr="00FF0E27">
              <w:rPr>
                <w:b/>
                <w:color w:val="602E04"/>
                <w:sz w:val="23"/>
                <w:szCs w:val="23"/>
              </w:rPr>
              <w:t>18758,37</w:t>
            </w:r>
            <w:r>
              <w:rPr>
                <w:b/>
                <w:color w:val="602E04"/>
                <w:sz w:val="23"/>
                <w:szCs w:val="23"/>
              </w:rPr>
              <w:t xml:space="preserve"> рублей.</w:t>
            </w:r>
          </w:p>
          <w:p w:rsidR="0041353D" w:rsidRDefault="00647645">
            <w:pPr>
              <w:ind w:firstLine="317"/>
              <w:jc w:val="both"/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 xml:space="preserve">2. Пенсионерам, получающим страховую пенсию по старости (инвалидности), пенсию за выслугу лет в соответствии с </w:t>
            </w:r>
            <w:hyperlink r:id="rId10" w:history="1">
              <w:r>
                <w:rPr>
                  <w:color w:val="602E04"/>
                  <w:sz w:val="23"/>
                  <w:szCs w:val="23"/>
                </w:rPr>
                <w:t>Законом</w:t>
              </w:r>
            </w:hyperlink>
            <w:r>
              <w:rPr>
                <w:color w:val="602E04"/>
                <w:sz w:val="23"/>
                <w:szCs w:val="23"/>
              </w:rPr>
              <w:t xml:space="preserve">                   № 4468-1, удостоенным почетного звания «Почетный гражданин Иркутской области», почетного звания «Почетный гражданин                        Усть-Ордынского Бурятского автономного округа», Почетного знака Юрия Абрамовича Ножикова «ПРИЗНАНИЕ» предоставляется в размере </w:t>
            </w:r>
            <w:r w:rsidR="00FF0E27" w:rsidRPr="00FF0E27">
              <w:rPr>
                <w:b/>
                <w:color w:val="602E04"/>
                <w:sz w:val="23"/>
                <w:szCs w:val="23"/>
              </w:rPr>
              <w:t>25011,16</w:t>
            </w:r>
            <w:r>
              <w:rPr>
                <w:b/>
                <w:color w:val="602E04"/>
                <w:sz w:val="23"/>
                <w:szCs w:val="23"/>
              </w:rPr>
              <w:t xml:space="preserve"> рублей</w:t>
            </w:r>
            <w:r>
              <w:rPr>
                <w:color w:val="602E04"/>
                <w:sz w:val="23"/>
                <w:szCs w:val="23"/>
              </w:rPr>
              <w:t>.</w:t>
            </w:r>
          </w:p>
          <w:p w:rsidR="0041353D" w:rsidRDefault="0041353D">
            <w:pPr>
              <w:ind w:firstLine="317"/>
              <w:jc w:val="both"/>
              <w:rPr>
                <w:color w:val="602E04"/>
                <w:sz w:val="23"/>
                <w:szCs w:val="23"/>
              </w:rPr>
            </w:pPr>
          </w:p>
        </w:tc>
      </w:tr>
      <w:tr w:rsidR="0041353D">
        <w:tc>
          <w:tcPr>
            <w:tcW w:w="2410" w:type="dxa"/>
            <w:shd w:val="clear" w:color="auto" w:fill="FDE9D9"/>
          </w:tcPr>
          <w:p w:rsidR="0041353D" w:rsidRDefault="00647645">
            <w:pPr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>4. Куда обращаться</w:t>
            </w:r>
          </w:p>
        </w:tc>
        <w:tc>
          <w:tcPr>
            <w:tcW w:w="7655" w:type="dxa"/>
            <w:shd w:val="clear" w:color="auto" w:fill="FDE9D9"/>
          </w:tcPr>
          <w:p w:rsidR="0041353D" w:rsidRDefault="00FF0E27">
            <w:pPr>
              <w:ind w:right="34" w:firstLine="317"/>
              <w:jc w:val="both"/>
              <w:outlineLvl w:val="1"/>
              <w:rPr>
                <w:color w:val="602E04"/>
                <w:sz w:val="23"/>
                <w:szCs w:val="23"/>
              </w:rPr>
            </w:pPr>
            <w:r w:rsidRPr="00FF0E27">
              <w:rPr>
                <w:color w:val="602E04"/>
                <w:sz w:val="23"/>
                <w:szCs w:val="23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пребывания.</w:t>
            </w:r>
            <w:bookmarkStart w:id="0" w:name="_GoBack"/>
            <w:bookmarkEnd w:id="0"/>
          </w:p>
        </w:tc>
      </w:tr>
      <w:tr w:rsidR="0041353D">
        <w:trPr>
          <w:trHeight w:val="508"/>
        </w:trPr>
        <w:tc>
          <w:tcPr>
            <w:tcW w:w="2410" w:type="dxa"/>
            <w:shd w:val="clear" w:color="auto" w:fill="FDE9D9"/>
          </w:tcPr>
          <w:p w:rsidR="0041353D" w:rsidRDefault="00647645" w:rsidP="007F6DCB">
            <w:pPr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>5. Документы</w:t>
            </w:r>
            <w:r w:rsidR="007F6DCB">
              <w:rPr>
                <w:color w:val="602E04"/>
                <w:sz w:val="23"/>
                <w:szCs w:val="23"/>
              </w:rPr>
              <w:t xml:space="preserve"> (сведения), необходимые для назначения</w:t>
            </w:r>
          </w:p>
        </w:tc>
        <w:tc>
          <w:tcPr>
            <w:tcW w:w="7655" w:type="dxa"/>
            <w:shd w:val="clear" w:color="auto" w:fill="FDE9D9"/>
          </w:tcPr>
          <w:p w:rsidR="0041353D" w:rsidRDefault="00647645">
            <w:pPr>
              <w:ind w:firstLine="317"/>
              <w:jc w:val="both"/>
              <w:rPr>
                <w:color w:val="833C0B"/>
              </w:rPr>
            </w:pPr>
            <w:r>
              <w:rPr>
                <w:color w:val="833C0B"/>
              </w:rPr>
              <w:t>1) паспорт или иной документ, удостоверяющий личность гражданина;</w:t>
            </w:r>
          </w:p>
          <w:p w:rsidR="0041353D" w:rsidRDefault="00647645">
            <w:pPr>
              <w:ind w:firstLine="317"/>
              <w:jc w:val="both"/>
              <w:rPr>
                <w:color w:val="833C0B"/>
              </w:rPr>
            </w:pPr>
            <w:r>
              <w:rPr>
                <w:bCs/>
                <w:color w:val="833C0B"/>
              </w:rPr>
              <w:t>2) документы, удостоверяющие личность и подтверждающие полномочия представителя гражданина (в случае обращения с заявлением представителя гражданина);</w:t>
            </w:r>
          </w:p>
          <w:p w:rsidR="0041353D" w:rsidRDefault="00647645">
            <w:pPr>
              <w:ind w:firstLine="317"/>
              <w:jc w:val="both"/>
            </w:pPr>
            <w:r>
              <w:rPr>
                <w:bCs/>
                <w:color w:val="833C0B"/>
              </w:rPr>
              <w:t xml:space="preserve">3) документ, содержащий сведения об установлении пенсии гражданину (пенсионное удостоверение, справка, выданная Фондом пенсионного и социального страхования Российской Федерации или федеральным органом исполнительной власти, федеральным государственным органом, осуществляющими пенсионное обеспечение </w:t>
            </w:r>
            <w:r>
              <w:rPr>
                <w:bCs/>
                <w:color w:val="833C0B"/>
              </w:rPr>
              <w:lastRenderedPageBreak/>
              <w:t>граждан в соответствии с Законом Российской Федерации № 4468-1) - для граждан, получающих страховую пенсию;</w:t>
            </w:r>
          </w:p>
          <w:p w:rsidR="0041353D" w:rsidRDefault="00647645">
            <w:pPr>
              <w:ind w:firstLine="317"/>
              <w:jc w:val="both"/>
              <w:rPr>
                <w:color w:val="833C0B"/>
              </w:rPr>
            </w:pPr>
            <w:r>
              <w:rPr>
                <w:bCs/>
                <w:color w:val="833C0B"/>
              </w:rPr>
              <w:t xml:space="preserve">4) удостоверение к знаку отличия «За заслуги перед Иркутской областью», к почетному званию «Почетный гражданин Иркутской области», к </w:t>
            </w:r>
            <w:r>
              <w:rPr>
                <w:color w:val="984806" w:themeColor="accent6" w:themeShade="80"/>
                <w:sz w:val="23"/>
                <w:szCs w:val="23"/>
              </w:rPr>
              <w:t>Почетному знаку Юрия Абрамовича Ножикова «ПРИЗНАНИЕ»</w:t>
            </w:r>
            <w:r>
              <w:rPr>
                <w:bCs/>
                <w:color w:val="984806" w:themeColor="accent6" w:themeShade="80"/>
              </w:rPr>
              <w:t>,</w:t>
            </w:r>
            <w:r>
              <w:rPr>
                <w:bCs/>
                <w:color w:val="833C0B"/>
              </w:rPr>
              <w:t xml:space="preserve"> а в случае его (их) утраты - справка, подтверждающая награждение наградой Иркутской области и (или) присвоение почетного звания Иркутской области.</w:t>
            </w:r>
          </w:p>
          <w:p w:rsidR="0041353D" w:rsidRDefault="0041353D">
            <w:pPr>
              <w:jc w:val="both"/>
              <w:rPr>
                <w:color w:val="833C0B"/>
              </w:rPr>
            </w:pPr>
          </w:p>
          <w:p w:rsidR="0041353D" w:rsidRDefault="0041353D">
            <w:pPr>
              <w:jc w:val="both"/>
              <w:rPr>
                <w:color w:val="833C0B"/>
              </w:rPr>
            </w:pPr>
          </w:p>
        </w:tc>
      </w:tr>
      <w:tr w:rsidR="0041353D">
        <w:trPr>
          <w:trHeight w:val="508"/>
        </w:trPr>
        <w:tc>
          <w:tcPr>
            <w:tcW w:w="2410" w:type="dxa"/>
            <w:shd w:val="clear" w:color="auto" w:fill="FDE9D9"/>
          </w:tcPr>
          <w:p w:rsidR="0041353D" w:rsidRDefault="00647645">
            <w:pPr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lastRenderedPageBreak/>
              <w:t>6. Условия предоставления</w:t>
            </w:r>
          </w:p>
        </w:tc>
        <w:tc>
          <w:tcPr>
            <w:tcW w:w="7655" w:type="dxa"/>
            <w:shd w:val="clear" w:color="auto" w:fill="FDE9D9"/>
          </w:tcPr>
          <w:p w:rsidR="0041353D" w:rsidRDefault="00647645">
            <w:pPr>
              <w:ind w:right="34" w:firstLine="317"/>
              <w:jc w:val="both"/>
              <w:rPr>
                <w:color w:val="602E04"/>
              </w:rPr>
            </w:pPr>
            <w:r>
              <w:rPr>
                <w:color w:val="602E04"/>
              </w:rPr>
              <w:t>Ежемесячная денежная выплата предоставляется независимо от факта получения страховой пенсии по старости (инвалидности), пенсии за выслугу лет в соответствии с Законом № 4468-1, гражданам, удостоенным знака отличия «За заслуги перед Иркутской областью», почетного звания «Почетный гражданин Иркутской области»,</w:t>
            </w:r>
            <w:r>
              <w:rPr>
                <w:color w:val="602E04"/>
                <w:sz w:val="23"/>
                <w:szCs w:val="23"/>
              </w:rPr>
              <w:t xml:space="preserve"> </w:t>
            </w:r>
            <w:r>
              <w:rPr>
                <w:color w:val="602E04"/>
              </w:rPr>
              <w:t xml:space="preserve">почетного звания «Почетный гражданин Усть-Ордынского Бурятского автономного округа», </w:t>
            </w:r>
            <w:r>
              <w:rPr>
                <w:color w:val="602E04"/>
                <w:sz w:val="23"/>
                <w:szCs w:val="23"/>
              </w:rPr>
              <w:t>Почетного знака Юрия Абрамовича Ножикова «ПРИЗНАНИЕ»</w:t>
            </w:r>
            <w:r>
              <w:rPr>
                <w:color w:val="602E04"/>
              </w:rPr>
              <w:t>:</w:t>
            </w:r>
          </w:p>
          <w:p w:rsidR="0041353D" w:rsidRDefault="00647645">
            <w:pPr>
              <w:ind w:right="34" w:firstLine="317"/>
              <w:jc w:val="both"/>
              <w:rPr>
                <w:color w:val="602E04"/>
              </w:rPr>
            </w:pPr>
            <w:r>
              <w:rPr>
                <w:color w:val="602E04"/>
              </w:rPr>
              <w:t>1)</w:t>
            </w:r>
            <w:r>
              <w:rPr>
                <w:color w:val="602E04"/>
              </w:rPr>
              <w:tab/>
              <w:t>достигшие возраста 60 лет – для мужчин, 55 лет – для женщин;</w:t>
            </w:r>
          </w:p>
          <w:p w:rsidR="0041353D" w:rsidRDefault="00647645">
            <w:pPr>
              <w:ind w:right="34" w:firstLine="317"/>
              <w:jc w:val="both"/>
              <w:rPr>
                <w:color w:val="602E04"/>
              </w:rPr>
            </w:pPr>
            <w:r>
              <w:rPr>
                <w:color w:val="602E04"/>
              </w:rPr>
              <w:t>2)</w:t>
            </w:r>
            <w:r>
              <w:rPr>
                <w:color w:val="602E04"/>
              </w:rPr>
              <w:tab/>
              <w:t xml:space="preserve">имеющие право на досрочное назначение страховой пенсии в соответствии с законодательством по состоянию на 31 декабря 2018 года.  </w:t>
            </w:r>
          </w:p>
        </w:tc>
      </w:tr>
      <w:tr w:rsidR="0041353D">
        <w:tc>
          <w:tcPr>
            <w:tcW w:w="2410" w:type="dxa"/>
            <w:shd w:val="clear" w:color="auto" w:fill="FDE9D9"/>
          </w:tcPr>
          <w:p w:rsidR="0041353D" w:rsidRDefault="00647645">
            <w:pPr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>7. Периодичность выплаты</w:t>
            </w:r>
          </w:p>
        </w:tc>
        <w:tc>
          <w:tcPr>
            <w:tcW w:w="7655" w:type="dxa"/>
            <w:shd w:val="clear" w:color="auto" w:fill="FDE9D9"/>
          </w:tcPr>
          <w:p w:rsidR="0041353D" w:rsidRDefault="00647645">
            <w:pPr>
              <w:ind w:right="34" w:firstLine="601"/>
              <w:jc w:val="both"/>
              <w:rPr>
                <w:color w:val="602E04"/>
                <w:sz w:val="23"/>
                <w:szCs w:val="23"/>
              </w:rPr>
            </w:pPr>
            <w:r>
              <w:rPr>
                <w:color w:val="602E04"/>
                <w:sz w:val="23"/>
                <w:szCs w:val="23"/>
              </w:rPr>
              <w:t>Ежемесячно</w:t>
            </w:r>
            <w:r>
              <w:rPr>
                <w:color w:val="632423"/>
              </w:rPr>
              <w:t xml:space="preserve"> через кредитную организацию (на счет банковской карты, счет по вкладу), организацию почтовой связи, иные доставочные организации.</w:t>
            </w:r>
          </w:p>
        </w:tc>
      </w:tr>
    </w:tbl>
    <w:p w:rsidR="00711555" w:rsidRDefault="00711555"/>
    <w:sectPr w:rsidR="00711555">
      <w:pgSz w:w="11906" w:h="16838"/>
      <w:pgMar w:top="539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67" w:rsidRDefault="00686167">
      <w:r>
        <w:separator/>
      </w:r>
    </w:p>
  </w:endnote>
  <w:endnote w:type="continuationSeparator" w:id="0">
    <w:p w:rsidR="00686167" w:rsidRDefault="0068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67" w:rsidRDefault="00686167">
      <w:r>
        <w:separator/>
      </w:r>
    </w:p>
  </w:footnote>
  <w:footnote w:type="continuationSeparator" w:id="0">
    <w:p w:rsidR="00686167" w:rsidRDefault="0068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3D11"/>
    <w:multiLevelType w:val="hybridMultilevel"/>
    <w:tmpl w:val="EEE2D78E"/>
    <w:lvl w:ilvl="0" w:tplc="E3EC71B6">
      <w:start w:val="1"/>
      <w:numFmt w:val="decimal"/>
      <w:lvlText w:val="%1)"/>
      <w:lvlJc w:val="left"/>
      <w:pPr>
        <w:ind w:left="677" w:hanging="360"/>
      </w:pPr>
    </w:lvl>
    <w:lvl w:ilvl="1" w:tplc="D32A9EC0">
      <w:start w:val="1"/>
      <w:numFmt w:val="lowerLetter"/>
      <w:lvlText w:val="%2."/>
      <w:lvlJc w:val="left"/>
      <w:pPr>
        <w:ind w:left="1397" w:hanging="360"/>
      </w:pPr>
    </w:lvl>
    <w:lvl w:ilvl="2" w:tplc="CD8CFCF8">
      <w:start w:val="1"/>
      <w:numFmt w:val="lowerRoman"/>
      <w:lvlText w:val="%3."/>
      <w:lvlJc w:val="right"/>
      <w:pPr>
        <w:ind w:left="2117" w:hanging="180"/>
      </w:pPr>
    </w:lvl>
    <w:lvl w:ilvl="3" w:tplc="6AC8D282">
      <w:start w:val="1"/>
      <w:numFmt w:val="decimal"/>
      <w:lvlText w:val="%4."/>
      <w:lvlJc w:val="left"/>
      <w:pPr>
        <w:ind w:left="2837" w:hanging="360"/>
      </w:pPr>
    </w:lvl>
    <w:lvl w:ilvl="4" w:tplc="4C0491C0">
      <w:start w:val="1"/>
      <w:numFmt w:val="lowerLetter"/>
      <w:lvlText w:val="%5."/>
      <w:lvlJc w:val="left"/>
      <w:pPr>
        <w:ind w:left="3557" w:hanging="360"/>
      </w:pPr>
    </w:lvl>
    <w:lvl w:ilvl="5" w:tplc="0C80F89A">
      <w:start w:val="1"/>
      <w:numFmt w:val="lowerRoman"/>
      <w:lvlText w:val="%6."/>
      <w:lvlJc w:val="right"/>
      <w:pPr>
        <w:ind w:left="4277" w:hanging="180"/>
      </w:pPr>
    </w:lvl>
    <w:lvl w:ilvl="6" w:tplc="E138BC84">
      <w:start w:val="1"/>
      <w:numFmt w:val="decimal"/>
      <w:lvlText w:val="%7."/>
      <w:lvlJc w:val="left"/>
      <w:pPr>
        <w:ind w:left="4997" w:hanging="360"/>
      </w:pPr>
    </w:lvl>
    <w:lvl w:ilvl="7" w:tplc="CD76CDA2">
      <w:start w:val="1"/>
      <w:numFmt w:val="lowerLetter"/>
      <w:lvlText w:val="%8."/>
      <w:lvlJc w:val="left"/>
      <w:pPr>
        <w:ind w:left="5717" w:hanging="360"/>
      </w:pPr>
    </w:lvl>
    <w:lvl w:ilvl="8" w:tplc="5E4278E0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3D"/>
    <w:rsid w:val="0041353D"/>
    <w:rsid w:val="00647645"/>
    <w:rsid w:val="00686167"/>
    <w:rsid w:val="00711555"/>
    <w:rsid w:val="007F6DCB"/>
    <w:rsid w:val="00973D7A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8F2AE-D13D-4684-B33F-1E7D9E44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E8C549FC6E53304CA268EE14A1AEF96BD814DDF27D628D72500F5A0Du7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778A7CC8E7B1F9A820B212D199194F59EDB1A8751A24BD9F23FE4B7AD0uE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364F-347F-4505-A39E-AA7E916D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2</cp:revision>
  <dcterms:created xsi:type="dcterms:W3CDTF">2025-01-22T02:47:00Z</dcterms:created>
  <dcterms:modified xsi:type="dcterms:W3CDTF">2025-01-22T02:47:00Z</dcterms:modified>
  <cp:version>1048576</cp:version>
</cp:coreProperties>
</file>