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3803"/>
        <w:gridCol w:w="6637"/>
      </w:tblGrid>
      <w:tr w:rsidR="0030703B">
        <w:trPr>
          <w:trHeight w:val="2516"/>
        </w:trPr>
        <w:tc>
          <w:tcPr>
            <w:tcW w:w="3803" w:type="dxa"/>
          </w:tcPr>
          <w:p w:rsidR="0030703B" w:rsidRDefault="004E397A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119884" cy="1598066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119884" cy="1598066"/>
                          </a:xfrm>
                          <a:prstGeom prst="rect">
                            <a:avLst/>
                          </a:prstGeom>
                          <a:noFill/>
                          <a:ln w="3048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tcBorders>
              <w:left w:val="none" w:sz="4" w:space="0" w:color="000000"/>
            </w:tcBorders>
          </w:tcPr>
          <w:p w:rsidR="0030703B" w:rsidRDefault="0030703B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30703B" w:rsidRDefault="004E397A">
            <w:pPr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ПАМЯТКА </w:t>
            </w:r>
          </w:p>
          <w:p w:rsidR="0030703B" w:rsidRDefault="0030703B">
            <w:pPr>
              <w:jc w:val="center"/>
              <w:rPr>
                <w:color w:val="333300"/>
                <w:sz w:val="16"/>
                <w:szCs w:val="16"/>
              </w:rPr>
            </w:pPr>
          </w:p>
          <w:p w:rsidR="0030703B" w:rsidRDefault="004E397A">
            <w:pPr>
              <w:jc w:val="center"/>
              <w:rPr>
                <w:b/>
                <w:color w:val="632423"/>
                <w:sz w:val="18"/>
                <w:szCs w:val="18"/>
              </w:rPr>
            </w:pPr>
            <w:r>
              <w:rPr>
                <w:color w:val="632423"/>
                <w:sz w:val="18"/>
                <w:szCs w:val="18"/>
              </w:rPr>
              <w:t>О ЕЖЕМЕСЯЧНОЙ ДОПЛАТЕ К ПЕНСИИ ПО ГОСУДАРСТВЕННОМУ ПЕНСИОННОМУ ОБЕСПЕЧЕНИЮ ВОЕННОСЛУЖАЩИМ, ПРОХОДИВШИМ ВОЕННУЮ СЛУЖБУ ПО ПРИЗЫВУ, СТАВШИМ ИНВАЛИДАМИ ВСЛЕДСТВИЕ ВОЕННОЙ ТРАВМЫ</w:t>
            </w:r>
          </w:p>
        </w:tc>
      </w:tr>
    </w:tbl>
    <w:p w:rsidR="0030703B" w:rsidRDefault="004E397A">
      <w:pPr>
        <w:ind w:firstLine="567"/>
        <w:jc w:val="center"/>
        <w:rPr>
          <w:b/>
          <w:color w:val="4F6228"/>
          <w:sz w:val="20"/>
          <w:szCs w:val="20"/>
        </w:rPr>
      </w:pPr>
      <w:r>
        <w:rPr>
          <w:b/>
          <w:color w:val="4F6228"/>
          <w:sz w:val="20"/>
          <w:szCs w:val="20"/>
        </w:rPr>
        <w:t xml:space="preserve">ЗАКОН ИРКУТСКОЙ ОБЛАСТИ </w:t>
      </w:r>
    </w:p>
    <w:p w:rsidR="0030703B" w:rsidRDefault="004E397A">
      <w:pPr>
        <w:ind w:firstLine="567"/>
        <w:jc w:val="center"/>
        <w:rPr>
          <w:b/>
          <w:color w:val="4F6228"/>
          <w:sz w:val="22"/>
          <w:szCs w:val="22"/>
        </w:rPr>
      </w:pPr>
      <w:r>
        <w:rPr>
          <w:b/>
          <w:color w:val="4F6228"/>
          <w:sz w:val="20"/>
          <w:szCs w:val="20"/>
        </w:rPr>
        <w:t>«О ЕЖЕМЕСЯЧНОЙ ДОПЛАТЕ К ПЕНСИИ ПО ГОСУДАРСТВЕННОМУ ПЕНСИОННОМУ ОБЕСПЕЧЕНИЮ ВОЕННОСЛУЖАЩИМ, ПРОХОДИВШИМ ВОЕННУЮ СЛУЖБУ ПО ПРИЗЫВУ, СТАВШИМ ИНВАЛИДАМИ ВСЛЕДСТВИЕ ВОЕННОЙ ТРАВМЫ</w:t>
      </w:r>
      <w:r>
        <w:rPr>
          <w:b/>
          <w:color w:val="4F6228"/>
          <w:sz w:val="22"/>
          <w:szCs w:val="22"/>
        </w:rPr>
        <w:t>»</w:t>
      </w:r>
    </w:p>
    <w:p w:rsidR="0030703B" w:rsidRDefault="004E397A">
      <w:pPr>
        <w:jc w:val="center"/>
        <w:rPr>
          <w:b/>
          <w:color w:val="632423"/>
          <w:sz w:val="22"/>
          <w:szCs w:val="22"/>
        </w:rPr>
      </w:pPr>
      <w:r>
        <w:rPr>
          <w:b/>
          <w:color w:val="632423"/>
          <w:sz w:val="22"/>
          <w:szCs w:val="22"/>
        </w:rPr>
        <w:t>от 18 июля 2008 года № 48-оз</w:t>
      </w:r>
    </w:p>
    <w:p w:rsidR="0030703B" w:rsidRDefault="0030703B">
      <w:pPr>
        <w:ind w:firstLine="567"/>
        <w:jc w:val="center"/>
        <w:rPr>
          <w:color w:val="000080"/>
          <w:sz w:val="16"/>
          <w:szCs w:val="16"/>
        </w:rPr>
      </w:pPr>
    </w:p>
    <w:tbl>
      <w:tblPr>
        <w:tblW w:w="10539" w:type="dxa"/>
        <w:tblInd w:w="-7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034"/>
        <w:gridCol w:w="8505"/>
      </w:tblGrid>
      <w:tr w:rsidR="0030703B">
        <w:tc>
          <w:tcPr>
            <w:tcW w:w="2034" w:type="dxa"/>
            <w:shd w:val="clear" w:color="auto" w:fill="FDE9D9"/>
          </w:tcPr>
          <w:p w:rsidR="0030703B" w:rsidRDefault="004E397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1. Категории граждан </w:t>
            </w:r>
          </w:p>
        </w:tc>
        <w:tc>
          <w:tcPr>
            <w:tcW w:w="8505" w:type="dxa"/>
            <w:shd w:val="clear" w:color="auto" w:fill="FDE9D9"/>
          </w:tcPr>
          <w:p w:rsidR="0030703B" w:rsidRDefault="004E397A">
            <w:pPr>
              <w:ind w:right="175" w:firstLine="540"/>
              <w:jc w:val="both"/>
              <w:rPr>
                <w:bCs/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 xml:space="preserve">Военнослужащие, проживающие на территории Иркутской области, получающие пенсию по инвалидности в соответствии с </w:t>
            </w:r>
            <w:hyperlink r:id="rId7" w:history="1">
              <w:r>
                <w:rPr>
                  <w:bCs/>
                  <w:color w:val="632423"/>
                  <w:sz w:val="23"/>
                  <w:szCs w:val="23"/>
                </w:rPr>
                <w:t>подпунктом 1 пункта 2 статьи 15</w:t>
              </w:r>
            </w:hyperlink>
            <w:r>
              <w:rPr>
                <w:bCs/>
                <w:color w:val="632423"/>
                <w:sz w:val="23"/>
                <w:szCs w:val="23"/>
              </w:rPr>
              <w:t xml:space="preserve"> Федерального закона от 15 декабря 2001 года N 166-ФЗ </w:t>
            </w:r>
            <w:r>
              <w:rPr>
                <w:bCs/>
                <w:color w:val="632423"/>
                <w:sz w:val="23"/>
                <w:szCs w:val="23"/>
              </w:rPr>
              <w:br w:type="textWrapping" w:clear="all"/>
              <w:t>"О государственном пенсионном обеспечении в Российской Федерации", проходившие военную службу по призыву в качестве солдат, матросов, сержантов и старшин, ставшие инвалидами вследствие военной травмы, полученной:</w:t>
            </w:r>
          </w:p>
          <w:p w:rsidR="0030703B" w:rsidRDefault="004E397A">
            <w:pPr>
              <w:ind w:right="175" w:firstLine="540"/>
              <w:jc w:val="both"/>
              <w:rPr>
                <w:bCs/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 xml:space="preserve">1) в ходе боевых действий в Афганистане с апреля 1978 года по </w:t>
            </w:r>
            <w:r>
              <w:rPr>
                <w:bCs/>
                <w:color w:val="632423"/>
                <w:sz w:val="23"/>
                <w:szCs w:val="23"/>
              </w:rPr>
              <w:br w:type="textWrapping" w:clear="all"/>
              <w:t>15 февраля 1989 года;</w:t>
            </w:r>
          </w:p>
          <w:p w:rsidR="0030703B" w:rsidRDefault="004E397A">
            <w:pPr>
              <w:ind w:right="175" w:firstLine="540"/>
              <w:jc w:val="both"/>
              <w:rPr>
                <w:bCs/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>2) в условиях вооруженного конфликта в Чеченской Республике и на прилегающих к ней территориях Российской Федерации, отнесенных к зонам вооруженного конфликта, с декабря 1994 года по декабрь 1996 года;</w:t>
            </w:r>
          </w:p>
          <w:p w:rsidR="0030703B" w:rsidRDefault="004E397A">
            <w:pPr>
              <w:ind w:right="175" w:firstLine="540"/>
              <w:jc w:val="both"/>
              <w:rPr>
                <w:bCs/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 xml:space="preserve">3) в ходе контртеррористических операций на территории </w:t>
            </w:r>
            <w:r>
              <w:rPr>
                <w:bCs/>
                <w:color w:val="632423"/>
                <w:sz w:val="23"/>
                <w:szCs w:val="23"/>
              </w:rPr>
              <w:br w:type="textWrapping" w:clear="all"/>
              <w:t>Северо-Кавказского региона с августа 1999 года;</w:t>
            </w:r>
          </w:p>
          <w:p w:rsidR="0030703B" w:rsidRDefault="004E397A">
            <w:pPr>
              <w:ind w:right="175" w:firstLine="540"/>
              <w:jc w:val="both"/>
              <w:rPr>
                <w:bCs/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>4) в зоне грузино-осетинского вооруженного конфликта;</w:t>
            </w:r>
          </w:p>
          <w:p w:rsidR="0030703B" w:rsidRDefault="004E397A">
            <w:pPr>
              <w:ind w:right="175" w:firstLine="540"/>
              <w:jc w:val="both"/>
              <w:rPr>
                <w:bCs/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>5) в зонах вооруженных конфликтов в Приднестровском регионе Республики Молдова, в Республике Таджикистан, Республике Грузия;</w:t>
            </w:r>
          </w:p>
          <w:p w:rsidR="0030703B" w:rsidRDefault="004E397A">
            <w:pPr>
              <w:ind w:right="175" w:firstLine="540"/>
              <w:jc w:val="both"/>
            </w:pPr>
            <w:r>
              <w:rPr>
                <w:bCs/>
                <w:color w:val="632423"/>
                <w:sz w:val="23"/>
                <w:szCs w:val="23"/>
              </w:rPr>
              <w:t>6) в условиях чрезвычайного положения на территории Республики Северная Осетия-Алания и Ингушской Республики.</w:t>
            </w:r>
          </w:p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bCs/>
                <w:color w:val="632423"/>
                <w:sz w:val="23"/>
                <w:szCs w:val="23"/>
              </w:rPr>
              <w:t>2. Применительно к настоящему Закону инвалидностью вследствие военной травмы считается инвалидность, наступившая вследствие ранения, контузии, увечья или заболевания, полученных при защите Родины, в том числе в связи с пребыванием на фронте, прохождением службы на территориях других государств, где велись боевые действия, или при исполнении иных обязанностей военной службы.</w:t>
            </w:r>
          </w:p>
        </w:tc>
      </w:tr>
      <w:tr w:rsidR="0030703B">
        <w:tc>
          <w:tcPr>
            <w:tcW w:w="2034" w:type="dxa"/>
            <w:shd w:val="clear" w:color="auto" w:fill="FDE9D9"/>
          </w:tcPr>
          <w:p w:rsidR="0030703B" w:rsidRDefault="004E397A" w:rsidP="007E333E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2. Размер доплаты с 01.01.202</w:t>
            </w:r>
            <w:r w:rsidR="007E333E">
              <w:rPr>
                <w:color w:val="632423"/>
                <w:sz w:val="23"/>
                <w:szCs w:val="23"/>
              </w:rPr>
              <w:t>5</w:t>
            </w:r>
            <w:bookmarkStart w:id="0" w:name="_GoBack"/>
            <w:bookmarkEnd w:id="0"/>
            <w:r>
              <w:rPr>
                <w:color w:val="632423"/>
                <w:sz w:val="23"/>
                <w:szCs w:val="23"/>
              </w:rPr>
              <w:t xml:space="preserve"> г.</w:t>
            </w:r>
          </w:p>
        </w:tc>
        <w:tc>
          <w:tcPr>
            <w:tcW w:w="8505" w:type="dxa"/>
            <w:shd w:val="clear" w:color="auto" w:fill="FDE9D9"/>
          </w:tcPr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1) инвалидам I группы – </w:t>
            </w:r>
            <w:r w:rsidR="007E333E" w:rsidRPr="007E333E">
              <w:rPr>
                <w:b/>
                <w:bCs/>
                <w:color w:val="632423"/>
                <w:sz w:val="23"/>
                <w:szCs w:val="23"/>
              </w:rPr>
              <w:t>8203,28</w:t>
            </w:r>
            <w:r>
              <w:rPr>
                <w:b/>
                <w:bCs/>
                <w:color w:val="632423"/>
                <w:sz w:val="23"/>
                <w:szCs w:val="23"/>
              </w:rPr>
              <w:t xml:space="preserve"> </w:t>
            </w:r>
            <w:r>
              <w:rPr>
                <w:b/>
                <w:color w:val="632423"/>
                <w:sz w:val="23"/>
                <w:szCs w:val="23"/>
              </w:rPr>
              <w:t>руб.</w:t>
            </w:r>
            <w:r>
              <w:rPr>
                <w:color w:val="632423"/>
                <w:sz w:val="23"/>
                <w:szCs w:val="23"/>
              </w:rPr>
              <w:t>;</w:t>
            </w:r>
          </w:p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2) инвалидам II группы – </w:t>
            </w:r>
            <w:r w:rsidR="007E333E" w:rsidRPr="007E333E">
              <w:rPr>
                <w:b/>
                <w:bCs/>
                <w:color w:val="632423"/>
                <w:sz w:val="23"/>
                <w:szCs w:val="23"/>
              </w:rPr>
              <w:t>6562,61</w:t>
            </w:r>
            <w:r>
              <w:rPr>
                <w:b/>
                <w:bCs/>
                <w:color w:val="632423"/>
                <w:sz w:val="23"/>
                <w:szCs w:val="23"/>
              </w:rPr>
              <w:t xml:space="preserve"> руб</w:t>
            </w:r>
            <w:r>
              <w:rPr>
                <w:color w:val="632423"/>
                <w:sz w:val="23"/>
                <w:szCs w:val="23"/>
              </w:rPr>
              <w:t>.;</w:t>
            </w:r>
          </w:p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3) инвалидам III группы </w:t>
            </w:r>
            <w:r>
              <w:rPr>
                <w:b/>
                <w:color w:val="632423"/>
                <w:sz w:val="23"/>
                <w:szCs w:val="23"/>
              </w:rPr>
              <w:t xml:space="preserve">– </w:t>
            </w:r>
            <w:r w:rsidR="007E333E" w:rsidRPr="007E333E">
              <w:rPr>
                <w:b/>
                <w:color w:val="632423"/>
                <w:sz w:val="23"/>
                <w:szCs w:val="23"/>
              </w:rPr>
              <w:t>5332,1</w:t>
            </w:r>
            <w:r>
              <w:rPr>
                <w:b/>
                <w:color w:val="632423"/>
                <w:sz w:val="23"/>
                <w:szCs w:val="23"/>
              </w:rPr>
              <w:t xml:space="preserve"> руб</w:t>
            </w:r>
            <w:r>
              <w:rPr>
                <w:color w:val="632423"/>
                <w:sz w:val="23"/>
                <w:szCs w:val="23"/>
              </w:rPr>
              <w:t>.</w:t>
            </w:r>
          </w:p>
        </w:tc>
      </w:tr>
      <w:tr w:rsidR="0030703B">
        <w:tc>
          <w:tcPr>
            <w:tcW w:w="2034" w:type="dxa"/>
            <w:shd w:val="clear" w:color="auto" w:fill="FDE9D9"/>
          </w:tcPr>
          <w:p w:rsidR="0030703B" w:rsidRDefault="004E397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3. Куда обращаться</w:t>
            </w:r>
          </w:p>
        </w:tc>
        <w:tc>
          <w:tcPr>
            <w:tcW w:w="8505" w:type="dxa"/>
            <w:shd w:val="clear" w:color="auto" w:fill="FDE9D9"/>
          </w:tcPr>
          <w:p w:rsidR="0030703B" w:rsidRDefault="007E333E">
            <w:pPr>
              <w:ind w:right="175" w:firstLine="612"/>
              <w:jc w:val="both"/>
              <w:outlineLvl w:val="1"/>
              <w:rPr>
                <w:color w:val="632423"/>
                <w:sz w:val="23"/>
                <w:szCs w:val="23"/>
              </w:rPr>
            </w:pPr>
            <w:r w:rsidRPr="007E333E">
              <w:rPr>
                <w:color w:val="632423"/>
                <w:sz w:val="23"/>
                <w:szCs w:val="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пребывания.</w:t>
            </w:r>
          </w:p>
        </w:tc>
      </w:tr>
      <w:tr w:rsidR="0030703B">
        <w:trPr>
          <w:trHeight w:val="508"/>
        </w:trPr>
        <w:tc>
          <w:tcPr>
            <w:tcW w:w="2034" w:type="dxa"/>
            <w:shd w:val="clear" w:color="auto" w:fill="FDE9D9"/>
          </w:tcPr>
          <w:p w:rsidR="0030703B" w:rsidRDefault="004E397A" w:rsidP="004E397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4. Документы (сведения), необходимые для назначения ежемесячной доплаты к пенсии </w:t>
            </w:r>
          </w:p>
        </w:tc>
        <w:tc>
          <w:tcPr>
            <w:tcW w:w="8505" w:type="dxa"/>
            <w:shd w:val="clear" w:color="auto" w:fill="FDE9D9"/>
          </w:tcPr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1) паспорт или иной документ, удостоверяющий личность военнослужащего;</w:t>
            </w:r>
          </w:p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2) документы, удостоверяющие личность и подтверждающие полномочия представителя военнослужащего, - в случае обращения представителя военнослужащего;</w:t>
            </w:r>
          </w:p>
          <w:p w:rsidR="0030703B" w:rsidRDefault="004E397A">
            <w:pPr>
              <w:ind w:right="175"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3) документ, подтверждающий факт прохождения военной службы в местах и в периоды, указанные в </w:t>
            </w:r>
            <w:hyperlink r:id="rId8" w:history="1">
              <w:r>
                <w:rPr>
                  <w:color w:val="632423"/>
                  <w:sz w:val="23"/>
                  <w:szCs w:val="23"/>
                </w:rPr>
                <w:t>пункте 1</w:t>
              </w:r>
            </w:hyperlink>
            <w:r>
              <w:rPr>
                <w:color w:val="632423"/>
                <w:sz w:val="23"/>
                <w:szCs w:val="23"/>
              </w:rPr>
              <w:t xml:space="preserve"> (военный билет, либо справка военного комиссариата, воинского подразделения, архивной организации, либо трудовая книжка, содержащая запись о месте и периоде прохождения военной службы).</w:t>
            </w:r>
          </w:p>
        </w:tc>
      </w:tr>
      <w:tr w:rsidR="0030703B">
        <w:tc>
          <w:tcPr>
            <w:tcW w:w="2034" w:type="dxa"/>
            <w:shd w:val="clear" w:color="auto" w:fill="FDE9D9"/>
          </w:tcPr>
          <w:p w:rsidR="0030703B" w:rsidRDefault="004E397A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5. Периодичность выплаты  </w:t>
            </w:r>
          </w:p>
        </w:tc>
        <w:tc>
          <w:tcPr>
            <w:tcW w:w="8505" w:type="dxa"/>
            <w:shd w:val="clear" w:color="auto" w:fill="FDE9D9"/>
          </w:tcPr>
          <w:p w:rsidR="0030703B" w:rsidRDefault="004E397A">
            <w:pPr>
              <w:ind w:right="34" w:firstLine="601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Ежемесячно через кредитную организацию (на счет банковской карты, счет по вкладу), организацию почтовой связи, иные доставочные организации.</w:t>
            </w:r>
          </w:p>
        </w:tc>
      </w:tr>
    </w:tbl>
    <w:p w:rsidR="009E713D" w:rsidRDefault="009E713D"/>
    <w:sectPr w:rsidR="009E713D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02" w:rsidRDefault="00FD1002">
      <w:r>
        <w:separator/>
      </w:r>
    </w:p>
  </w:endnote>
  <w:endnote w:type="continuationSeparator" w:id="0">
    <w:p w:rsidR="00FD1002" w:rsidRDefault="00F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02" w:rsidRDefault="00FD1002">
      <w:r>
        <w:separator/>
      </w:r>
    </w:p>
  </w:footnote>
  <w:footnote w:type="continuationSeparator" w:id="0">
    <w:p w:rsidR="00FD1002" w:rsidRDefault="00FD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3B"/>
    <w:rsid w:val="0030703B"/>
    <w:rsid w:val="004E397A"/>
    <w:rsid w:val="007E333E"/>
    <w:rsid w:val="009E713D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B7251-1DAB-44D2-BA35-88718E1E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EA7ACE1082A7505D73E8EB6460CBC3CA83CF65C9AFD796771F575F9B750E597060D04D98FF0331F2A514Bn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5EC03505FAC73EC96BEAE4FB4C04E99C0B0990887A6979682430C50C8F87B7266B501C758B7430T7h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2025-01-22T02:44:00Z</dcterms:created>
  <dcterms:modified xsi:type="dcterms:W3CDTF">2025-01-22T02:44:00Z</dcterms:modified>
  <cp:version>1048576</cp:version>
</cp:coreProperties>
</file>