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3803"/>
        <w:gridCol w:w="6637"/>
      </w:tblGrid>
      <w:tr w:rsidR="00580B89">
        <w:trPr>
          <w:trHeight w:val="2516"/>
        </w:trPr>
        <w:tc>
          <w:tcPr>
            <w:tcW w:w="3803" w:type="dxa"/>
          </w:tcPr>
          <w:p w:rsidR="00580B89" w:rsidRDefault="0052795F">
            <w:pPr>
              <w:ind w:left="-900" w:firstLine="661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394585" cy="140351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394585" cy="1403515"/>
                          </a:xfrm>
                          <a:prstGeom prst="rect">
                            <a:avLst/>
                          </a:prstGeom>
                          <a:noFill/>
                          <a:ln w="2286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tcBorders>
              <w:left w:val="none" w:sz="4" w:space="0" w:color="000000"/>
            </w:tcBorders>
          </w:tcPr>
          <w:p w:rsidR="00580B89" w:rsidRDefault="00580B89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580B89" w:rsidRDefault="0052795F">
            <w:pPr>
              <w:jc w:val="center"/>
              <w:rPr>
                <w:b/>
                <w:color w:val="218126"/>
                <w:sz w:val="28"/>
                <w:szCs w:val="28"/>
              </w:rPr>
            </w:pPr>
            <w:r>
              <w:rPr>
                <w:b/>
                <w:color w:val="218126"/>
                <w:sz w:val="28"/>
                <w:szCs w:val="28"/>
              </w:rPr>
              <w:t xml:space="preserve">ПАМЯТКА </w:t>
            </w:r>
          </w:p>
          <w:p w:rsidR="00580B89" w:rsidRDefault="00580B89">
            <w:pPr>
              <w:jc w:val="center"/>
              <w:rPr>
                <w:color w:val="4F6228"/>
                <w:sz w:val="16"/>
                <w:szCs w:val="16"/>
              </w:rPr>
            </w:pPr>
          </w:p>
          <w:p w:rsidR="00580B89" w:rsidRDefault="0052795F">
            <w:pPr>
              <w:jc w:val="center"/>
              <w:rPr>
                <w:color w:val="244061"/>
                <w:sz w:val="18"/>
                <w:szCs w:val="18"/>
              </w:rPr>
            </w:pPr>
            <w:r>
              <w:rPr>
                <w:color w:val="244061"/>
                <w:sz w:val="18"/>
                <w:szCs w:val="18"/>
              </w:rPr>
              <w:t xml:space="preserve">О СОЦИАЛЬНОЙ ВЫПЛАТЕ В ЦЕЛЯХ </w:t>
            </w:r>
          </w:p>
          <w:p w:rsidR="00580B89" w:rsidRDefault="0052795F">
            <w:pPr>
              <w:jc w:val="center"/>
              <w:rPr>
                <w:color w:val="244061"/>
                <w:sz w:val="18"/>
                <w:szCs w:val="18"/>
              </w:rPr>
            </w:pPr>
            <w:r>
              <w:rPr>
                <w:color w:val="244061"/>
                <w:sz w:val="18"/>
                <w:szCs w:val="18"/>
              </w:rPr>
              <w:t>ЕЖЕМЕСЯЧНОГО ДЕНЕЖНОГО СОДЕРЖАНИЯ</w:t>
            </w:r>
          </w:p>
          <w:p w:rsidR="00580B89" w:rsidRDefault="00580B89">
            <w:pPr>
              <w:jc w:val="center"/>
              <w:rPr>
                <w:b/>
                <w:color w:val="244061"/>
                <w:sz w:val="18"/>
                <w:szCs w:val="18"/>
              </w:rPr>
            </w:pPr>
          </w:p>
        </w:tc>
      </w:tr>
    </w:tbl>
    <w:p w:rsidR="00580B89" w:rsidRDefault="0052795F">
      <w:pPr>
        <w:jc w:val="center"/>
        <w:rPr>
          <w:b/>
          <w:color w:val="244061"/>
          <w:sz w:val="22"/>
          <w:szCs w:val="22"/>
        </w:rPr>
      </w:pPr>
      <w:r>
        <w:rPr>
          <w:b/>
          <w:color w:val="244061"/>
          <w:sz w:val="22"/>
          <w:szCs w:val="22"/>
        </w:rPr>
        <w:t xml:space="preserve">ЗАКОН ИРКУТСКОЙ ОБЛАСТИ </w:t>
      </w:r>
    </w:p>
    <w:p w:rsidR="00580B89" w:rsidRDefault="0052795F">
      <w:pPr>
        <w:jc w:val="center"/>
        <w:rPr>
          <w:b/>
          <w:color w:val="218126"/>
        </w:rPr>
      </w:pPr>
      <w:r>
        <w:rPr>
          <w:color w:val="244061"/>
        </w:rPr>
        <w:t>«</w:t>
      </w:r>
      <w:r>
        <w:rPr>
          <w:b/>
          <w:color w:val="244061"/>
          <w:sz w:val="22"/>
          <w:szCs w:val="22"/>
        </w:rPr>
        <w:t>О ФИЗИЧЕСКОЙ КУЛЬТУРЕ И СПОРТЕ В ИРКУТСКОЙ ОБЛАСТИ»</w:t>
      </w:r>
      <w:r>
        <w:t xml:space="preserve"> </w:t>
      </w:r>
      <w:r>
        <w:rPr>
          <w:b/>
          <w:color w:val="218126"/>
        </w:rPr>
        <w:t xml:space="preserve">17 декабря 2008 года N 108-оз </w:t>
      </w:r>
    </w:p>
    <w:tbl>
      <w:tblPr>
        <w:tblW w:w="10348" w:type="dxa"/>
        <w:tblInd w:w="-6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269"/>
        <w:gridCol w:w="8079"/>
      </w:tblGrid>
      <w:tr w:rsidR="00580B89">
        <w:tc>
          <w:tcPr>
            <w:tcW w:w="2269" w:type="dxa"/>
            <w:shd w:val="clear" w:color="auto" w:fill="FDE9D9"/>
          </w:tcPr>
          <w:p w:rsidR="00580B89" w:rsidRDefault="0052795F">
            <w:pPr>
              <w:rPr>
                <w:color w:val="17365D"/>
              </w:rPr>
            </w:pPr>
            <w:r>
              <w:rPr>
                <w:color w:val="17365D"/>
              </w:rPr>
              <w:t>1. Категории граждан</w:t>
            </w:r>
          </w:p>
        </w:tc>
        <w:tc>
          <w:tcPr>
            <w:tcW w:w="8079" w:type="dxa"/>
            <w:shd w:val="clear" w:color="auto" w:fill="FDE9D9"/>
          </w:tcPr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Неработающие пенсионеры, работавшие в сфере физической культуры и проживающие на территории области, имеющие звания "Заслуженный мастер спорта России (СССР)", "Заслуженный тренер России (СССР)", "Заслуженный тренер РСФСР", "Заслуженный работник физической культуры Российской Федерации", а также неработающие граждане, проживающие на территории области, имеющие почетное звание "Заслуженный врач России", проработавшие в спортивной медицине не менее десяти лет.</w:t>
            </w:r>
          </w:p>
        </w:tc>
      </w:tr>
      <w:tr w:rsidR="00580B89">
        <w:tc>
          <w:tcPr>
            <w:tcW w:w="2269" w:type="dxa"/>
            <w:shd w:val="clear" w:color="auto" w:fill="FDE9D9"/>
          </w:tcPr>
          <w:p w:rsidR="00580B89" w:rsidRDefault="0052795F">
            <w:pPr>
              <w:rPr>
                <w:color w:val="17365D"/>
              </w:rPr>
            </w:pPr>
            <w:r>
              <w:rPr>
                <w:color w:val="17365D"/>
              </w:rPr>
              <w:t>2. Меры социальной поддержки;</w:t>
            </w:r>
          </w:p>
          <w:p w:rsidR="00580B89" w:rsidRDefault="0052795F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Размер выплаты</w:t>
            </w:r>
          </w:p>
          <w:p w:rsidR="00580B89" w:rsidRDefault="0052795F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с 1 января 202</w:t>
            </w:r>
            <w:r w:rsidR="00253D84">
              <w:rPr>
                <w:b/>
                <w:color w:val="17365D"/>
              </w:rPr>
              <w:t>5</w:t>
            </w:r>
            <w:r>
              <w:rPr>
                <w:b/>
                <w:color w:val="17365D"/>
              </w:rPr>
              <w:t> года</w:t>
            </w:r>
          </w:p>
          <w:p w:rsidR="00580B89" w:rsidRDefault="00580B89">
            <w:pPr>
              <w:rPr>
                <w:color w:val="17365D"/>
              </w:rPr>
            </w:pPr>
          </w:p>
        </w:tc>
        <w:tc>
          <w:tcPr>
            <w:tcW w:w="8079" w:type="dxa"/>
            <w:shd w:val="clear" w:color="auto" w:fill="FDE9D9"/>
          </w:tcPr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Социальная выплата устанавливается в следующих размерах: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bookmarkStart w:id="0" w:name="Par1"/>
            <w:bookmarkEnd w:id="0"/>
            <w:r>
              <w:rPr>
                <w:color w:val="17365D"/>
              </w:rPr>
              <w:t xml:space="preserve">1) неработающим гражданам, не достигшим возраста 80 лет, -               </w:t>
            </w:r>
            <w:r w:rsidR="00253D84" w:rsidRPr="00253D84">
              <w:rPr>
                <w:b/>
                <w:color w:val="17365D"/>
              </w:rPr>
              <w:t>5261,96</w:t>
            </w:r>
            <w:r>
              <w:rPr>
                <w:b/>
                <w:color w:val="17365D"/>
              </w:rPr>
              <w:t xml:space="preserve"> </w:t>
            </w:r>
            <w:r>
              <w:rPr>
                <w:color w:val="17365D"/>
              </w:rPr>
              <w:t>руб.</w:t>
            </w:r>
            <w:r>
              <w:rPr>
                <w:b/>
                <w:color w:val="17365D"/>
              </w:rPr>
              <w:t>;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bookmarkStart w:id="1" w:name="Par2"/>
            <w:bookmarkEnd w:id="1"/>
            <w:r>
              <w:rPr>
                <w:color w:val="17365D"/>
              </w:rPr>
              <w:t>2) неработающим гражданам, достигшим возраста 80 лет, -</w:t>
            </w:r>
            <w:r>
              <w:rPr>
                <w:color w:val="17365D"/>
              </w:rPr>
              <w:br w:type="textWrapping" w:clear="all"/>
            </w:r>
            <w:r w:rsidR="00253D84" w:rsidRPr="00253D84">
              <w:rPr>
                <w:b/>
                <w:color w:val="17365D"/>
              </w:rPr>
              <w:t>10525,13</w:t>
            </w:r>
            <w:r>
              <w:rPr>
                <w:b/>
                <w:color w:val="17365D"/>
              </w:rPr>
              <w:t xml:space="preserve"> </w:t>
            </w:r>
            <w:r>
              <w:rPr>
                <w:color w:val="17365D"/>
              </w:rPr>
              <w:t>руб.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 xml:space="preserve">Размер ежемесячной социальной выплаты, ежегодно индексируется в соответствии с законом Иркутской области об областном бюджете на очередной финансовый год с учетом прогнозируемой инфляции. </w:t>
            </w:r>
          </w:p>
        </w:tc>
      </w:tr>
      <w:tr w:rsidR="00580B89">
        <w:trPr>
          <w:trHeight w:val="508"/>
        </w:trPr>
        <w:tc>
          <w:tcPr>
            <w:tcW w:w="2269" w:type="dxa"/>
            <w:shd w:val="clear" w:color="auto" w:fill="FDE9D9"/>
          </w:tcPr>
          <w:p w:rsidR="00580B89" w:rsidRDefault="0052795F">
            <w:pPr>
              <w:rPr>
                <w:color w:val="17365D"/>
              </w:rPr>
            </w:pPr>
            <w:r>
              <w:rPr>
                <w:color w:val="17365D"/>
              </w:rPr>
              <w:t>3. Куда обращаться</w:t>
            </w:r>
          </w:p>
        </w:tc>
        <w:tc>
          <w:tcPr>
            <w:tcW w:w="8079" w:type="dxa"/>
            <w:shd w:val="clear" w:color="auto" w:fill="FDE9D9"/>
          </w:tcPr>
          <w:p w:rsidR="00580B89" w:rsidRDefault="00253D84">
            <w:pPr>
              <w:ind w:firstLine="612"/>
              <w:jc w:val="both"/>
              <w:outlineLvl w:val="1"/>
              <w:rPr>
                <w:color w:val="17365D"/>
              </w:rPr>
            </w:pPr>
            <w:r w:rsidRPr="00253D84">
              <w:rPr>
                <w:color w:val="17365D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пребывания.</w:t>
            </w:r>
            <w:bookmarkStart w:id="2" w:name="_GoBack"/>
            <w:bookmarkEnd w:id="2"/>
          </w:p>
        </w:tc>
      </w:tr>
      <w:tr w:rsidR="00580B89">
        <w:trPr>
          <w:trHeight w:val="508"/>
        </w:trPr>
        <w:tc>
          <w:tcPr>
            <w:tcW w:w="2269" w:type="dxa"/>
            <w:shd w:val="clear" w:color="auto" w:fill="FDE9D9"/>
          </w:tcPr>
          <w:p w:rsidR="00580B89" w:rsidRDefault="0052795F" w:rsidP="0052795F">
            <w:pPr>
              <w:rPr>
                <w:color w:val="17365D"/>
              </w:rPr>
            </w:pPr>
            <w:r>
              <w:rPr>
                <w:color w:val="17365D"/>
              </w:rPr>
              <w:t xml:space="preserve">4. </w:t>
            </w:r>
            <w:r w:rsidRPr="0052795F">
              <w:rPr>
                <w:color w:val="17365D"/>
              </w:rPr>
              <w:t xml:space="preserve">Документы (сведения), необходимые для назначения </w:t>
            </w:r>
            <w:r>
              <w:rPr>
                <w:color w:val="17365D"/>
              </w:rPr>
              <w:t>ежемесячного денежного содержания</w:t>
            </w:r>
          </w:p>
        </w:tc>
        <w:tc>
          <w:tcPr>
            <w:tcW w:w="8079" w:type="dxa"/>
            <w:shd w:val="clear" w:color="auto" w:fill="FDE9D9"/>
          </w:tcPr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паспорт или иной документ, удостоверяющий личность;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документ, подтверждающий присвоение соответствующего звания;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трудовая книжка и (или) сведения о трудовой деятельности, оформленные в установленном законодательством порядке;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пенсионное удостоверение или справка (сведения) о назначении пенсии, выданная территориальным органом Пенсионного фонда Российской Федерации, и документ, подтверждающий регистрацию в системе индивидуального (персонифицированного) учета;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color w:val="17365D"/>
              </w:rPr>
              <w:t>документ о регистрации по месту жительства или по месту пребывания в Иркутской области, в случае их отсутствия - решение суда об установлении факта постоянного или преимущественного проживания в Иркутской области.</w:t>
            </w:r>
          </w:p>
          <w:p w:rsidR="00580B89" w:rsidRDefault="00580B89">
            <w:pPr>
              <w:ind w:firstLine="540"/>
              <w:jc w:val="both"/>
              <w:rPr>
                <w:color w:val="17365D"/>
              </w:rPr>
            </w:pPr>
          </w:p>
        </w:tc>
      </w:tr>
      <w:tr w:rsidR="00580B89">
        <w:trPr>
          <w:trHeight w:val="508"/>
        </w:trPr>
        <w:tc>
          <w:tcPr>
            <w:tcW w:w="2269" w:type="dxa"/>
            <w:shd w:val="clear" w:color="auto" w:fill="FDE9D9"/>
          </w:tcPr>
          <w:p w:rsidR="00580B89" w:rsidRDefault="0052795F">
            <w:pPr>
              <w:rPr>
                <w:color w:val="17365D"/>
              </w:rPr>
            </w:pPr>
            <w:r>
              <w:rPr>
                <w:color w:val="17365D"/>
              </w:rPr>
              <w:t>5. Условия</w:t>
            </w:r>
          </w:p>
        </w:tc>
        <w:tc>
          <w:tcPr>
            <w:tcW w:w="8079" w:type="dxa"/>
            <w:shd w:val="clear" w:color="auto" w:fill="FDE9D9"/>
          </w:tcPr>
          <w:p w:rsidR="00580B89" w:rsidRDefault="0052795F">
            <w:pPr>
              <w:ind w:firstLine="540"/>
              <w:jc w:val="both"/>
            </w:pPr>
            <w:r>
              <w:rPr>
                <w:bCs/>
                <w:color w:val="17365D"/>
              </w:rPr>
              <w:t>Социальная выплата предоставляется независимо от факта получения страховой пенсии по старости указанной категории граждан:</w:t>
            </w:r>
          </w:p>
          <w:p w:rsidR="00580B89" w:rsidRDefault="0052795F">
            <w:pPr>
              <w:ind w:firstLine="540"/>
              <w:jc w:val="both"/>
            </w:pPr>
            <w:r>
              <w:rPr>
                <w:bCs/>
                <w:color w:val="17365D"/>
              </w:rPr>
              <w:t>1) достигшим возраста 60 лет - для мужчин, 55 лет - для женщин;</w:t>
            </w:r>
          </w:p>
          <w:p w:rsidR="00580B89" w:rsidRDefault="0052795F">
            <w:pPr>
              <w:ind w:firstLine="540"/>
              <w:jc w:val="both"/>
              <w:rPr>
                <w:color w:val="17365D"/>
              </w:rPr>
            </w:pPr>
            <w:r>
              <w:rPr>
                <w:bCs/>
                <w:color w:val="17365D"/>
              </w:rPr>
              <w:t>2) имеющим право на досрочное назначение страховой пенсии в соответствии с законодательством по состоянию на 31 декабря 2018 года.</w:t>
            </w:r>
          </w:p>
        </w:tc>
      </w:tr>
      <w:tr w:rsidR="00580B89">
        <w:trPr>
          <w:trHeight w:val="508"/>
        </w:trPr>
        <w:tc>
          <w:tcPr>
            <w:tcW w:w="2269" w:type="dxa"/>
            <w:shd w:val="clear" w:color="auto" w:fill="FDE9D9"/>
          </w:tcPr>
          <w:p w:rsidR="00580B89" w:rsidRDefault="0052795F">
            <w:pPr>
              <w:rPr>
                <w:color w:val="17365D"/>
              </w:rPr>
            </w:pPr>
            <w:r>
              <w:rPr>
                <w:color w:val="17365D"/>
              </w:rPr>
              <w:t>6. Периодичность выплаты</w:t>
            </w:r>
          </w:p>
        </w:tc>
        <w:tc>
          <w:tcPr>
            <w:tcW w:w="8079" w:type="dxa"/>
            <w:shd w:val="clear" w:color="auto" w:fill="FDE9D9"/>
          </w:tcPr>
          <w:p w:rsidR="00580B89" w:rsidRDefault="0052795F">
            <w:pPr>
              <w:ind w:right="34" w:firstLine="601"/>
              <w:jc w:val="both"/>
              <w:rPr>
                <w:color w:val="244061"/>
              </w:rPr>
            </w:pPr>
            <w:r>
              <w:rPr>
                <w:color w:val="244061"/>
              </w:rPr>
              <w:t>Ежемесячно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:rsidR="00580B89" w:rsidRDefault="00580B89"/>
    <w:sectPr w:rsidR="00580B89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42" w:rsidRDefault="00135B42">
      <w:r>
        <w:separator/>
      </w:r>
    </w:p>
  </w:endnote>
  <w:endnote w:type="continuationSeparator" w:id="0">
    <w:p w:rsidR="00135B42" w:rsidRDefault="001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42" w:rsidRDefault="00135B42">
      <w:r>
        <w:separator/>
      </w:r>
    </w:p>
  </w:footnote>
  <w:footnote w:type="continuationSeparator" w:id="0">
    <w:p w:rsidR="00135B42" w:rsidRDefault="0013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89"/>
    <w:rsid w:val="00135B42"/>
    <w:rsid w:val="00253D84"/>
    <w:rsid w:val="0052795F"/>
    <w:rsid w:val="005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30053-15B4-4D5D-B6F0-92ED0C0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2025-01-22T02:42:00Z</dcterms:created>
  <dcterms:modified xsi:type="dcterms:W3CDTF">2025-01-22T02:42:00Z</dcterms:modified>
  <cp:version>1048576</cp:version>
</cp:coreProperties>
</file>