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Look w:val="01E0" w:firstRow="1" w:lastRow="1" w:firstColumn="1" w:lastColumn="1" w:noHBand="0" w:noVBand="0"/>
      </w:tblPr>
      <w:tblGrid>
        <w:gridCol w:w="3803"/>
        <w:gridCol w:w="6637"/>
      </w:tblGrid>
      <w:tr w:rsidR="00D762C5">
        <w:trPr>
          <w:trHeight w:val="2516"/>
        </w:trPr>
        <w:tc>
          <w:tcPr>
            <w:tcW w:w="3803" w:type="dxa"/>
          </w:tcPr>
          <w:p w:rsidR="00D762C5" w:rsidRDefault="00CA2245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083841" cy="15621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83841" cy="1562100"/>
                          </a:xfrm>
                          <a:prstGeom prst="rect">
                            <a:avLst/>
                          </a:prstGeom>
                          <a:noFill/>
                          <a:ln w="2286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D762C5" w:rsidRDefault="00D762C5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D762C5" w:rsidRDefault="00CA2245">
            <w:pPr>
              <w:jc w:val="center"/>
              <w:rPr>
                <w:b/>
                <w:color w:val="287F13"/>
                <w:sz w:val="28"/>
                <w:szCs w:val="28"/>
              </w:rPr>
            </w:pPr>
            <w:r>
              <w:rPr>
                <w:b/>
                <w:color w:val="287F13"/>
                <w:sz w:val="28"/>
                <w:szCs w:val="28"/>
              </w:rPr>
              <w:t xml:space="preserve">ПАМЯТКА </w:t>
            </w:r>
          </w:p>
          <w:p w:rsidR="00D762C5" w:rsidRDefault="00D762C5">
            <w:pPr>
              <w:jc w:val="center"/>
              <w:rPr>
                <w:color w:val="4A442A"/>
                <w:sz w:val="16"/>
                <w:szCs w:val="16"/>
              </w:rPr>
            </w:pPr>
          </w:p>
          <w:p w:rsidR="00D762C5" w:rsidRDefault="00CA2245">
            <w:pPr>
              <w:jc w:val="center"/>
              <w:rPr>
                <w:color w:val="5F497A"/>
                <w:sz w:val="22"/>
                <w:szCs w:val="22"/>
              </w:rPr>
            </w:pPr>
            <w:r>
              <w:rPr>
                <w:color w:val="5F497A"/>
                <w:sz w:val="22"/>
                <w:szCs w:val="22"/>
              </w:rPr>
              <w:t xml:space="preserve">О ЕЖЕМЕСЯЧНОЙ ДЕНЕЖНОЙ ВЫПЛАТЕ </w:t>
            </w:r>
          </w:p>
          <w:p w:rsidR="00D762C5" w:rsidRDefault="00CA2245">
            <w:pPr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color w:val="5F497A"/>
                <w:sz w:val="22"/>
                <w:szCs w:val="22"/>
              </w:rPr>
              <w:t>ОТДЕЛЬНЫМ КАТЕГОРИЯМ НЕРАБОТАЮЩИХ ГРАЖДАН В ИРКУТСКОЙ ОБЛАСТИ</w:t>
            </w:r>
          </w:p>
          <w:p w:rsidR="00D762C5" w:rsidRDefault="00D762C5">
            <w:pPr>
              <w:jc w:val="center"/>
              <w:rPr>
                <w:b/>
                <w:color w:val="632423"/>
                <w:sz w:val="18"/>
                <w:szCs w:val="18"/>
              </w:rPr>
            </w:pPr>
          </w:p>
        </w:tc>
      </w:tr>
    </w:tbl>
    <w:p w:rsidR="00D762C5" w:rsidRDefault="00D762C5">
      <w:pPr>
        <w:jc w:val="center"/>
        <w:rPr>
          <w:b/>
          <w:color w:val="5F497A"/>
          <w:sz w:val="20"/>
          <w:szCs w:val="20"/>
        </w:rPr>
      </w:pPr>
    </w:p>
    <w:p w:rsidR="00D762C5" w:rsidRDefault="00CA2245">
      <w:pPr>
        <w:jc w:val="center"/>
        <w:rPr>
          <w:b/>
          <w:color w:val="287F13"/>
          <w:sz w:val="22"/>
          <w:szCs w:val="22"/>
        </w:rPr>
      </w:pPr>
      <w:r>
        <w:rPr>
          <w:b/>
          <w:color w:val="287F13"/>
          <w:sz w:val="22"/>
          <w:szCs w:val="22"/>
        </w:rPr>
        <w:t xml:space="preserve">ЗАКОН ИРКУТСКОЙ ОБЛАСТИ </w:t>
      </w:r>
    </w:p>
    <w:p w:rsidR="00D762C5" w:rsidRDefault="00CA2245">
      <w:pPr>
        <w:jc w:val="center"/>
        <w:rPr>
          <w:b/>
          <w:color w:val="287F13"/>
          <w:sz w:val="22"/>
          <w:szCs w:val="22"/>
        </w:rPr>
      </w:pPr>
      <w:r>
        <w:rPr>
          <w:b/>
          <w:color w:val="287F13"/>
          <w:sz w:val="22"/>
          <w:szCs w:val="22"/>
        </w:rPr>
        <w:t>«О ЕЖЕМЕСЯЧНОЙ ДЕНЕЖНОЙ ВЫПЛАТЕ ОТДЕЛЬНЫМ КАТЕГОРИЯМ НЕРАБОТАЮЩИХ ГРАЖДАН</w:t>
      </w:r>
    </w:p>
    <w:p w:rsidR="00D762C5" w:rsidRDefault="00CA2245">
      <w:pPr>
        <w:jc w:val="center"/>
        <w:rPr>
          <w:b/>
          <w:color w:val="287F13"/>
          <w:sz w:val="22"/>
          <w:szCs w:val="22"/>
        </w:rPr>
      </w:pPr>
      <w:r>
        <w:rPr>
          <w:b/>
          <w:color w:val="287F13"/>
          <w:sz w:val="22"/>
          <w:szCs w:val="22"/>
        </w:rPr>
        <w:t xml:space="preserve">В ИРКУТСКОЙ ОБЛАСТИ» </w:t>
      </w:r>
    </w:p>
    <w:p w:rsidR="00D762C5" w:rsidRDefault="00CA2245">
      <w:pPr>
        <w:jc w:val="center"/>
        <w:rPr>
          <w:b/>
          <w:color w:val="5F497A"/>
          <w:sz w:val="22"/>
          <w:szCs w:val="22"/>
        </w:rPr>
      </w:pPr>
      <w:r>
        <w:rPr>
          <w:b/>
          <w:color w:val="5F497A"/>
          <w:sz w:val="22"/>
          <w:szCs w:val="22"/>
        </w:rPr>
        <w:t>от 17 декабря 2008 года № 128-оз</w:t>
      </w:r>
    </w:p>
    <w:p w:rsidR="00D762C5" w:rsidRDefault="00D762C5">
      <w:pPr>
        <w:ind w:firstLine="567"/>
        <w:jc w:val="center"/>
        <w:rPr>
          <w:color w:val="000080"/>
          <w:sz w:val="16"/>
          <w:szCs w:val="16"/>
        </w:rPr>
      </w:pPr>
    </w:p>
    <w:p w:rsidR="00D762C5" w:rsidRDefault="00D762C5">
      <w:pPr>
        <w:ind w:firstLine="567"/>
        <w:jc w:val="center"/>
        <w:rPr>
          <w:color w:val="000080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836"/>
        <w:gridCol w:w="7229"/>
      </w:tblGrid>
      <w:tr w:rsidR="00D762C5">
        <w:tc>
          <w:tcPr>
            <w:tcW w:w="2836" w:type="dxa"/>
            <w:shd w:val="clear" w:color="auto" w:fill="FDE9D9"/>
          </w:tcPr>
          <w:p w:rsidR="00D762C5" w:rsidRDefault="00CA2245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1. Категории граждан</w:t>
            </w:r>
          </w:p>
        </w:tc>
        <w:tc>
          <w:tcPr>
            <w:tcW w:w="7229" w:type="dxa"/>
            <w:shd w:val="clear" w:color="auto" w:fill="FDE9D9"/>
          </w:tcPr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 xml:space="preserve">Проживающие на территории Иркутской области </w:t>
            </w:r>
            <w:r>
              <w:rPr>
                <w:bCs/>
                <w:color w:val="7030A0"/>
                <w:sz w:val="23"/>
                <w:szCs w:val="23"/>
              </w:rPr>
              <w:t>неработающие пенсионеры из числа следующих категорий: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получающие страховую пенсию по старости при наличии у них страхового (трудового) стажа, учтенного при назначении выплаты, не менее 39 лет для мужчин и не менее 34 лет для женщин;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 xml:space="preserve">получающие страховую пенсию по старости в связи с досрочным назначением трудовой пенсии по старости в соответствии со </w:t>
            </w:r>
            <w:hyperlink r:id="rId7" w:history="1">
              <w:r>
                <w:rPr>
                  <w:rStyle w:val="af1"/>
                  <w:bCs/>
                  <w:color w:val="7030A0"/>
                  <w:sz w:val="23"/>
                  <w:szCs w:val="23"/>
                  <w:u w:val="none"/>
                </w:rPr>
                <w:t>статьями 27</w:t>
              </w:r>
            </w:hyperlink>
            <w:r>
              <w:rPr>
                <w:bCs/>
                <w:color w:val="7030A0"/>
                <w:sz w:val="23"/>
                <w:szCs w:val="23"/>
              </w:rPr>
              <w:t xml:space="preserve"> и </w:t>
            </w:r>
            <w:hyperlink r:id="rId8" w:history="1">
              <w:r>
                <w:rPr>
                  <w:rStyle w:val="af1"/>
                  <w:bCs/>
                  <w:color w:val="7030A0"/>
                  <w:sz w:val="23"/>
                  <w:szCs w:val="23"/>
                  <w:u w:val="none"/>
                </w:rPr>
                <w:t>28</w:t>
              </w:r>
            </w:hyperlink>
            <w:r>
              <w:rPr>
                <w:bCs/>
                <w:color w:val="7030A0"/>
                <w:sz w:val="23"/>
                <w:szCs w:val="23"/>
              </w:rPr>
              <w:t xml:space="preserve"> Федерального закона от 17 декабря 2001 года № 173-ФЗ «О трудовых пенсиях в Российской Федерации» либо досрочным назначением страховой пенсии по старости в соответствии со </w:t>
            </w:r>
            <w:hyperlink r:id="rId9" w:history="1">
              <w:r>
                <w:rPr>
                  <w:rStyle w:val="af1"/>
                  <w:bCs/>
                  <w:color w:val="7030A0"/>
                  <w:sz w:val="23"/>
                  <w:szCs w:val="23"/>
                  <w:u w:val="none"/>
                </w:rPr>
                <w:t>статьями 30</w:t>
              </w:r>
            </w:hyperlink>
            <w:r>
              <w:rPr>
                <w:bCs/>
                <w:color w:val="7030A0"/>
                <w:sz w:val="23"/>
                <w:szCs w:val="23"/>
              </w:rPr>
              <w:t xml:space="preserve">, </w:t>
            </w:r>
            <w:hyperlink r:id="rId10" w:history="1">
              <w:r>
                <w:rPr>
                  <w:rStyle w:val="af1"/>
                  <w:bCs/>
                  <w:color w:val="7030A0"/>
                  <w:sz w:val="23"/>
                  <w:szCs w:val="23"/>
                  <w:u w:val="none"/>
                </w:rPr>
                <w:t>32</w:t>
              </w:r>
            </w:hyperlink>
            <w:r>
              <w:rPr>
                <w:bCs/>
                <w:color w:val="7030A0"/>
                <w:sz w:val="23"/>
                <w:szCs w:val="23"/>
              </w:rPr>
              <w:t xml:space="preserve"> Федерального закона от 28 декабря 2013 года </w:t>
            </w:r>
            <w:r>
              <w:rPr>
                <w:bCs/>
                <w:color w:val="7030A0"/>
                <w:sz w:val="23"/>
                <w:szCs w:val="23"/>
              </w:rPr>
              <w:br w:type="textWrapping" w:clear="all"/>
              <w:t>№ 400-ФЗ «О страховых пенсиях», при наличии у них страхового (трудового) стажа, учтенного при назначении выплаты, не менее 35 лет для мужчин и не менее 30 лет для женщин.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Ежемесячная денежная выплата предоставляется также независимо от факта получения страховой пенсии по старости следующим категориям неработающих граждан: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1) достигшим возраста 60 лет - для мужчин, 55 лет - для женщин;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2) имеющим право на досрочное назначение страховой пенсии в соответствии с законодательством по состоянию на 31 декабря 2018 года.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Данное условие применяется наряду с условиями к размеру страхового (трудового) стажа.</w:t>
            </w:r>
          </w:p>
          <w:p w:rsidR="00D762C5" w:rsidRDefault="00D762C5">
            <w:pPr>
              <w:ind w:firstLine="540"/>
              <w:jc w:val="both"/>
              <w:rPr>
                <w:color w:val="5F497A"/>
                <w:sz w:val="23"/>
                <w:szCs w:val="23"/>
              </w:rPr>
            </w:pPr>
          </w:p>
          <w:p w:rsidR="00D762C5" w:rsidRDefault="00D762C5">
            <w:pPr>
              <w:ind w:firstLine="540"/>
              <w:jc w:val="both"/>
              <w:rPr>
                <w:color w:val="5F497A"/>
                <w:sz w:val="16"/>
                <w:szCs w:val="16"/>
              </w:rPr>
            </w:pPr>
          </w:p>
        </w:tc>
      </w:tr>
      <w:tr w:rsidR="00D762C5">
        <w:tc>
          <w:tcPr>
            <w:tcW w:w="2836" w:type="dxa"/>
            <w:shd w:val="clear" w:color="auto" w:fill="FDE9D9"/>
          </w:tcPr>
          <w:p w:rsidR="00D762C5" w:rsidRDefault="00CA2245">
            <w:pPr>
              <w:outlineLvl w:val="0"/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2. Меры социальной поддержки</w:t>
            </w:r>
          </w:p>
          <w:p w:rsidR="00D762C5" w:rsidRDefault="00CA2245" w:rsidP="00961631">
            <w:pPr>
              <w:rPr>
                <w:b/>
                <w:color w:val="5F497A"/>
                <w:sz w:val="23"/>
                <w:szCs w:val="23"/>
              </w:rPr>
            </w:pPr>
            <w:r>
              <w:rPr>
                <w:b/>
                <w:color w:val="7030A0"/>
                <w:sz w:val="23"/>
                <w:szCs w:val="23"/>
              </w:rPr>
              <w:t>Размер выплаты с 1 января 202</w:t>
            </w:r>
            <w:r w:rsidR="00961631">
              <w:rPr>
                <w:b/>
                <w:color w:val="7030A0"/>
                <w:sz w:val="23"/>
                <w:szCs w:val="23"/>
              </w:rPr>
              <w:t>5</w:t>
            </w:r>
            <w:r>
              <w:rPr>
                <w:b/>
                <w:color w:val="7030A0"/>
                <w:sz w:val="23"/>
                <w:szCs w:val="23"/>
              </w:rPr>
              <w:t xml:space="preserve"> года</w:t>
            </w:r>
          </w:p>
        </w:tc>
        <w:tc>
          <w:tcPr>
            <w:tcW w:w="7229" w:type="dxa"/>
            <w:shd w:val="clear" w:color="auto" w:fill="FDE9D9"/>
          </w:tcPr>
          <w:p w:rsidR="00D762C5" w:rsidRDefault="00CA2245">
            <w:pPr>
              <w:ind w:firstLine="540"/>
              <w:jc w:val="both"/>
              <w:rPr>
                <w:b/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 xml:space="preserve">Ежемесячная денежная выплата в размере </w:t>
            </w:r>
            <w:r w:rsidR="00961631" w:rsidRPr="00961631">
              <w:rPr>
                <w:b/>
                <w:color w:val="7030A0"/>
                <w:sz w:val="23"/>
                <w:szCs w:val="23"/>
              </w:rPr>
              <w:t>646,93</w:t>
            </w:r>
            <w:r>
              <w:rPr>
                <w:b/>
                <w:color w:val="7030A0"/>
                <w:sz w:val="23"/>
                <w:szCs w:val="23"/>
              </w:rPr>
              <w:t xml:space="preserve"> руб</w:t>
            </w:r>
            <w:r>
              <w:rPr>
                <w:color w:val="7030A0"/>
                <w:sz w:val="23"/>
                <w:szCs w:val="23"/>
              </w:rPr>
              <w:t>.</w:t>
            </w:r>
          </w:p>
          <w:p w:rsidR="00D762C5" w:rsidRDefault="00D762C5">
            <w:pPr>
              <w:ind w:firstLine="540"/>
              <w:jc w:val="both"/>
              <w:rPr>
                <w:color w:val="5F497A"/>
                <w:sz w:val="16"/>
                <w:szCs w:val="16"/>
              </w:rPr>
            </w:pPr>
          </w:p>
        </w:tc>
      </w:tr>
      <w:tr w:rsidR="00D762C5">
        <w:tc>
          <w:tcPr>
            <w:tcW w:w="2836" w:type="dxa"/>
            <w:shd w:val="clear" w:color="auto" w:fill="FDE9D9"/>
          </w:tcPr>
          <w:p w:rsidR="00D762C5" w:rsidRDefault="00CA2245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3. Куда обращаться</w:t>
            </w:r>
          </w:p>
        </w:tc>
        <w:tc>
          <w:tcPr>
            <w:tcW w:w="7229" w:type="dxa"/>
            <w:shd w:val="clear" w:color="auto" w:fill="FDE9D9"/>
          </w:tcPr>
          <w:p w:rsidR="00D762C5" w:rsidRDefault="00961631">
            <w:pPr>
              <w:ind w:right="34" w:firstLine="612"/>
              <w:jc w:val="both"/>
              <w:outlineLvl w:val="1"/>
              <w:rPr>
                <w:color w:val="5F497A"/>
                <w:sz w:val="16"/>
                <w:szCs w:val="16"/>
              </w:rPr>
            </w:pPr>
            <w:r w:rsidRPr="00961631">
              <w:rPr>
                <w:color w:val="7030A0"/>
                <w:sz w:val="23"/>
                <w:szCs w:val="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</w:p>
        </w:tc>
      </w:tr>
      <w:tr w:rsidR="00D762C5">
        <w:trPr>
          <w:trHeight w:val="508"/>
        </w:trPr>
        <w:tc>
          <w:tcPr>
            <w:tcW w:w="2836" w:type="dxa"/>
            <w:shd w:val="clear" w:color="auto" w:fill="FDE9D9"/>
          </w:tcPr>
          <w:p w:rsidR="00D762C5" w:rsidRDefault="00CA2245" w:rsidP="00CA2245">
            <w:r>
              <w:rPr>
                <w:color w:val="7030A0"/>
                <w:sz w:val="23"/>
                <w:szCs w:val="23"/>
              </w:rPr>
              <w:t xml:space="preserve">4. </w:t>
            </w:r>
            <w:r w:rsidRPr="00CA2245">
              <w:rPr>
                <w:color w:val="7030A0"/>
                <w:sz w:val="23"/>
                <w:szCs w:val="23"/>
              </w:rPr>
              <w:t xml:space="preserve">Документы (сведения), необходимые для назначения ежемесячной </w:t>
            </w:r>
            <w:r>
              <w:rPr>
                <w:color w:val="7030A0"/>
                <w:sz w:val="23"/>
                <w:szCs w:val="23"/>
              </w:rPr>
              <w:t>денежной выплаты</w:t>
            </w:r>
          </w:p>
        </w:tc>
        <w:tc>
          <w:tcPr>
            <w:tcW w:w="7229" w:type="dxa"/>
            <w:shd w:val="clear" w:color="auto" w:fill="FDE9D9"/>
          </w:tcPr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1) паспорт или иной документ, удостоверяющий личность гражданина;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2) документ, удостоверяющий личность и полномочия представителя неработающего гражданина, - в случае обращения с заявлением представителя неработающего гражданина;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3) трудовая книжка неработающего гражданина;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bookmarkStart w:id="0" w:name="Par3"/>
            <w:bookmarkEnd w:id="0"/>
            <w:r>
              <w:rPr>
                <w:bCs/>
                <w:color w:val="7030A0"/>
                <w:sz w:val="23"/>
                <w:szCs w:val="23"/>
              </w:rPr>
              <w:t>4) документ, выданный территориальным органом Пенсионного фонда Российской Федерации, содержащий сведения о назначении пенсии и продолжительности страхового стажа пенсионера, учтенного при назначении пенсии</w:t>
            </w:r>
            <w:bookmarkStart w:id="1" w:name="Par5"/>
            <w:bookmarkEnd w:id="1"/>
            <w:r>
              <w:rPr>
                <w:bCs/>
                <w:color w:val="7030A0"/>
                <w:sz w:val="23"/>
                <w:szCs w:val="23"/>
              </w:rPr>
              <w:t xml:space="preserve"> – для граждан, пенсионного возраста;</w:t>
            </w:r>
          </w:p>
          <w:p w:rsidR="00D762C5" w:rsidRDefault="00CA2245">
            <w:pPr>
              <w:ind w:firstLine="540"/>
              <w:jc w:val="both"/>
              <w:rPr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lastRenderedPageBreak/>
              <w:t>4</w:t>
            </w:r>
            <w:r>
              <w:rPr>
                <w:bCs/>
                <w:color w:val="7030A0"/>
                <w:sz w:val="23"/>
                <w:szCs w:val="23"/>
                <w:vertAlign w:val="superscript"/>
              </w:rPr>
              <w:t>1</w:t>
            </w:r>
            <w:r>
              <w:rPr>
                <w:bCs/>
                <w:color w:val="7030A0"/>
                <w:sz w:val="23"/>
                <w:szCs w:val="23"/>
              </w:rPr>
              <w:t>) документ, выданный территориальным органом Пенсионного фонда Российской Федерации, содержащий сведения о страховом стаже гражданина на момент обращения, - для граждан, предпенсионного</w:t>
            </w:r>
            <w:bookmarkStart w:id="2" w:name="_GoBack"/>
            <w:bookmarkEnd w:id="2"/>
            <w:r>
              <w:rPr>
                <w:bCs/>
                <w:color w:val="7030A0"/>
                <w:sz w:val="23"/>
                <w:szCs w:val="23"/>
              </w:rPr>
              <w:t xml:space="preserve"> возраста;</w:t>
            </w:r>
          </w:p>
          <w:p w:rsidR="00D762C5" w:rsidRDefault="00CA2245">
            <w:pPr>
              <w:ind w:firstLine="540"/>
              <w:jc w:val="both"/>
              <w:rPr>
                <w:bCs/>
                <w:color w:val="7030A0"/>
                <w:sz w:val="23"/>
                <w:szCs w:val="23"/>
              </w:rPr>
            </w:pPr>
            <w:r>
              <w:rPr>
                <w:bCs/>
                <w:color w:val="7030A0"/>
                <w:sz w:val="23"/>
                <w:szCs w:val="23"/>
              </w:rPr>
              <w:t>5) документы, подтверждающие наличие страхового (трудового) стажа в случае отсутствия у неработающего гражданина трудовой книжки либо отсутствия у территориального органа Пенсионного фонда Российской Федерации сведений о наличии отдельных периодов страхового стажа при назначении пенсии (справки, выданные в установленном порядке уполномоченными органами (организациями); документы о выслуге лет, выданные органами государственной власти и органами местного самоуправления; вступившие в законную силу решения судов об установлении трудового стажа, акты комиссий по установлению стажа в случае утраты документов в результате чрезвычайных ситуаций; иные документы в соответствии с законодательством).</w:t>
            </w:r>
          </w:p>
          <w:p w:rsidR="00D762C5" w:rsidRDefault="00D762C5">
            <w:pPr>
              <w:ind w:firstLine="540"/>
              <w:jc w:val="both"/>
              <w:rPr>
                <w:color w:val="7030A0"/>
                <w:sz w:val="16"/>
                <w:szCs w:val="16"/>
              </w:rPr>
            </w:pPr>
          </w:p>
        </w:tc>
      </w:tr>
      <w:tr w:rsidR="00D762C5">
        <w:tc>
          <w:tcPr>
            <w:tcW w:w="2836" w:type="dxa"/>
            <w:shd w:val="clear" w:color="auto" w:fill="FDE9D9"/>
          </w:tcPr>
          <w:p w:rsidR="00D762C5" w:rsidRDefault="00CA2245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lastRenderedPageBreak/>
              <w:t>5. Условия</w:t>
            </w:r>
          </w:p>
        </w:tc>
        <w:tc>
          <w:tcPr>
            <w:tcW w:w="7229" w:type="dxa"/>
            <w:shd w:val="clear" w:color="auto" w:fill="FDE9D9"/>
          </w:tcPr>
          <w:p w:rsidR="00D762C5" w:rsidRDefault="00CA2245">
            <w:pPr>
              <w:ind w:firstLine="540"/>
              <w:jc w:val="both"/>
            </w:pPr>
            <w:r>
              <w:rPr>
                <w:color w:val="7030A0"/>
                <w:sz w:val="23"/>
                <w:szCs w:val="23"/>
              </w:rPr>
              <w:t>Выплата не назначается и не предоставляется гражданам, которым в соответствии с законодательством Российской Федерации, субъектов Российской Федерации назначены (установлены) пенсия за выслугу лет, ежемесячная доплата к пенсии, дополнительное ежемесячное материальное обеспечение, ежемесячная денежная выплата.</w:t>
            </w:r>
          </w:p>
          <w:p w:rsidR="00D762C5" w:rsidRDefault="00CA2245">
            <w:pPr>
              <w:ind w:firstLine="540"/>
              <w:jc w:val="both"/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Выплата не назначается и не предоставляется гражданам, которым в соответствии с муниципальными правовыми актами назначены (установлены) пенсия за выслугу лет, ежемесячная доплата к пенсии.</w:t>
            </w:r>
          </w:p>
          <w:p w:rsidR="00D762C5" w:rsidRDefault="00D762C5">
            <w:pPr>
              <w:ind w:firstLine="540"/>
              <w:jc w:val="both"/>
              <w:rPr>
                <w:color w:val="7030A0"/>
                <w:sz w:val="16"/>
                <w:szCs w:val="16"/>
              </w:rPr>
            </w:pPr>
          </w:p>
        </w:tc>
      </w:tr>
      <w:tr w:rsidR="00D762C5">
        <w:tc>
          <w:tcPr>
            <w:tcW w:w="2836" w:type="dxa"/>
            <w:shd w:val="clear" w:color="auto" w:fill="FDE9D9"/>
          </w:tcPr>
          <w:p w:rsidR="00D762C5" w:rsidRDefault="00CA2245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 xml:space="preserve">6. Периодичность </w:t>
            </w:r>
          </w:p>
        </w:tc>
        <w:tc>
          <w:tcPr>
            <w:tcW w:w="7229" w:type="dxa"/>
            <w:shd w:val="clear" w:color="auto" w:fill="FDE9D9"/>
          </w:tcPr>
          <w:p w:rsidR="00D762C5" w:rsidRDefault="00CA2245">
            <w:pPr>
              <w:ind w:right="34" w:firstLine="601"/>
              <w:jc w:val="both"/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 xml:space="preserve">Ежемесячно </w:t>
            </w:r>
            <w:r>
              <w:rPr>
                <w:color w:val="7030A0"/>
              </w:rPr>
              <w:t>через кредитную организацию (на счет банковской карты, счет по вкладу), организацию почтовой связи, иные доставочные организации</w:t>
            </w:r>
          </w:p>
          <w:p w:rsidR="00D762C5" w:rsidRDefault="00D762C5">
            <w:pPr>
              <w:ind w:right="34" w:firstLine="601"/>
              <w:jc w:val="both"/>
              <w:rPr>
                <w:color w:val="7030A0"/>
                <w:sz w:val="16"/>
                <w:szCs w:val="16"/>
              </w:rPr>
            </w:pPr>
          </w:p>
        </w:tc>
      </w:tr>
    </w:tbl>
    <w:p w:rsidR="00D754C9" w:rsidRDefault="00D754C9"/>
    <w:sectPr w:rsidR="00D754C9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BB" w:rsidRDefault="004E41BB">
      <w:r>
        <w:separator/>
      </w:r>
    </w:p>
  </w:endnote>
  <w:endnote w:type="continuationSeparator" w:id="0">
    <w:p w:rsidR="004E41BB" w:rsidRDefault="004E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BB" w:rsidRDefault="004E41BB">
      <w:r>
        <w:separator/>
      </w:r>
    </w:p>
  </w:footnote>
  <w:footnote w:type="continuationSeparator" w:id="0">
    <w:p w:rsidR="004E41BB" w:rsidRDefault="004E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C5"/>
    <w:rsid w:val="004E41BB"/>
    <w:rsid w:val="00961631"/>
    <w:rsid w:val="00CA2245"/>
    <w:rsid w:val="00D754C9"/>
    <w:rsid w:val="00D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F73C-ECBC-409B-9F39-F42EE6DC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5324AF46252DDA62AF496C376CC4A53E007C663B81682C015307C37286CF97A3AC7080F02D652t3H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F5324AF46252DDA62AF496C376CC4A53E007C663B81682C015307C37286CF97A3AC7080F02D650t3H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3F5324AF46252DDA62AF496C376CC4A53EC00CB63B81682C015307C37286CF97A3AC7080F02D153t3H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F5324AF46252DDA62AF496C376CC4A53EC00CB63B81682C015307C37286CF97A3AC7080F02D150t3H4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2025-01-22T02:34:00Z</dcterms:created>
  <dcterms:modified xsi:type="dcterms:W3CDTF">2025-01-22T02:34:00Z</dcterms:modified>
  <cp:version>1048576</cp:version>
</cp:coreProperties>
</file>