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9" w:type="dxa"/>
        <w:tblInd w:w="-612" w:type="dxa"/>
        <w:tblLook w:val="01E0" w:firstRow="1" w:lastRow="1" w:firstColumn="1" w:lastColumn="1" w:noHBand="0" w:noVBand="0"/>
      </w:tblPr>
      <w:tblGrid>
        <w:gridCol w:w="4264"/>
        <w:gridCol w:w="6095"/>
      </w:tblGrid>
      <w:tr w:rsidR="00650EF9">
        <w:trPr>
          <w:trHeight w:val="2516"/>
        </w:trPr>
        <w:tc>
          <w:tcPr>
            <w:tcW w:w="4264" w:type="dxa"/>
          </w:tcPr>
          <w:p w:rsidR="00650EF9" w:rsidRDefault="00066737">
            <w:pPr>
              <w:ind w:left="-900" w:firstLine="900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noProof/>
                <w:color w:val="008000"/>
                <w:sz w:val="28"/>
                <w:szCs w:val="28"/>
              </w:rPr>
              <w:drawing>
                <wp:inline distT="0" distB="0" distL="0" distR="0">
                  <wp:extent cx="2619375" cy="15883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619375" cy="158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left w:val="none" w:sz="4" w:space="0" w:color="000000"/>
            </w:tcBorders>
          </w:tcPr>
          <w:p w:rsidR="00650EF9" w:rsidRDefault="00650EF9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650EF9" w:rsidRDefault="00066737">
            <w:pPr>
              <w:jc w:val="center"/>
              <w:rPr>
                <w:b/>
                <w:color w:val="4A442A"/>
                <w:sz w:val="28"/>
                <w:szCs w:val="28"/>
              </w:rPr>
            </w:pPr>
            <w:r>
              <w:rPr>
                <w:b/>
                <w:color w:val="4A442A"/>
                <w:sz w:val="28"/>
                <w:szCs w:val="28"/>
              </w:rPr>
              <w:t xml:space="preserve">ПАМЯТКА </w:t>
            </w:r>
          </w:p>
          <w:p w:rsidR="00650EF9" w:rsidRDefault="00650EF9">
            <w:pPr>
              <w:ind w:left="70"/>
              <w:jc w:val="center"/>
              <w:rPr>
                <w:color w:val="632423"/>
              </w:rPr>
            </w:pPr>
          </w:p>
          <w:p w:rsidR="00650EF9" w:rsidRDefault="00066737">
            <w:pPr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Предоставление ежемесячной денежной выплаты ветеранам труда Иркутской области, переехавшим на постоянное место жительства за пределы Иркутской области</w:t>
            </w:r>
          </w:p>
          <w:p w:rsidR="00650EF9" w:rsidRDefault="00650EF9">
            <w:pPr>
              <w:ind w:left="495"/>
              <w:jc w:val="center"/>
              <w:outlineLvl w:val="0"/>
              <w:rPr>
                <w:b/>
                <w:color w:val="771F27"/>
              </w:rPr>
            </w:pPr>
          </w:p>
        </w:tc>
      </w:tr>
    </w:tbl>
    <w:p w:rsidR="00650EF9" w:rsidRDefault="00650EF9">
      <w:pPr>
        <w:jc w:val="center"/>
      </w:pPr>
    </w:p>
    <w:p w:rsidR="00650EF9" w:rsidRDefault="00066737">
      <w:pPr>
        <w:jc w:val="center"/>
        <w:rPr>
          <w:b/>
          <w:color w:val="4A442A"/>
          <w:sz w:val="22"/>
          <w:szCs w:val="22"/>
        </w:rPr>
      </w:pPr>
      <w:r>
        <w:rPr>
          <w:b/>
          <w:color w:val="4A442A"/>
          <w:sz w:val="22"/>
          <w:szCs w:val="22"/>
        </w:rPr>
        <w:t>ЗАКОН ИРКУТСКОЙ ОБЛАСТИ</w:t>
      </w:r>
    </w:p>
    <w:p w:rsidR="00650EF9" w:rsidRDefault="00066737">
      <w:pPr>
        <w:jc w:val="center"/>
        <w:rPr>
          <w:b/>
          <w:color w:val="4A442A"/>
          <w:sz w:val="22"/>
          <w:szCs w:val="22"/>
        </w:rPr>
      </w:pPr>
      <w:r>
        <w:rPr>
          <w:b/>
          <w:color w:val="4A442A"/>
          <w:sz w:val="22"/>
          <w:szCs w:val="22"/>
        </w:rPr>
        <w:t xml:space="preserve">от 13.07.2018 N 72-ОЗ «О ВЕТЕРАНАХ ТРУДА ИРКУТСКОЙ ОБЛАСТИ» </w:t>
      </w:r>
    </w:p>
    <w:p w:rsidR="00650EF9" w:rsidRDefault="00650EF9">
      <w:pPr>
        <w:jc w:val="center"/>
        <w:rPr>
          <w:color w:val="5F497A"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24" w:space="0" w:color="632423"/>
          <w:left w:val="single" w:sz="24" w:space="0" w:color="632423"/>
          <w:bottom w:val="single" w:sz="24" w:space="0" w:color="632423"/>
          <w:right w:val="single" w:sz="24" w:space="0" w:color="632423"/>
          <w:insideH w:val="single" w:sz="24" w:space="0" w:color="632423"/>
          <w:insideV w:val="single" w:sz="24" w:space="0" w:color="632423"/>
        </w:tblBorders>
        <w:shd w:val="clear" w:color="auto" w:fill="FDE9D9"/>
        <w:tblLook w:val="01E0" w:firstRow="1" w:lastRow="1" w:firstColumn="1" w:lastColumn="1" w:noHBand="0" w:noVBand="0"/>
      </w:tblPr>
      <w:tblGrid>
        <w:gridCol w:w="2269"/>
        <w:gridCol w:w="8221"/>
      </w:tblGrid>
      <w:tr w:rsidR="00650EF9">
        <w:tc>
          <w:tcPr>
            <w:tcW w:w="2269" w:type="dxa"/>
            <w:shd w:val="clear" w:color="auto" w:fill="EEECE1"/>
          </w:tcPr>
          <w:p w:rsidR="00650EF9" w:rsidRDefault="00066737">
            <w:pPr>
              <w:shd w:val="clear" w:color="auto" w:fill="EEECE1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1. Категории граждан</w:t>
            </w:r>
          </w:p>
        </w:tc>
        <w:tc>
          <w:tcPr>
            <w:tcW w:w="8221" w:type="dxa"/>
            <w:shd w:val="clear" w:color="auto" w:fill="EEECE1"/>
          </w:tcPr>
          <w:p w:rsidR="00650EF9" w:rsidRDefault="00066737">
            <w:pPr>
              <w:shd w:val="clear" w:color="auto" w:fill="EEECE1"/>
              <w:ind w:firstLine="540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Ветераны труда Иркутской области, переехавшие на постоянное место жительства за пределы Иркутской области</w:t>
            </w:r>
          </w:p>
          <w:p w:rsidR="00650EF9" w:rsidRDefault="00650EF9">
            <w:pPr>
              <w:shd w:val="clear" w:color="auto" w:fill="EEECE1"/>
              <w:ind w:firstLine="540"/>
              <w:jc w:val="both"/>
              <w:rPr>
                <w:color w:val="632423"/>
                <w:szCs w:val="23"/>
              </w:rPr>
            </w:pPr>
          </w:p>
        </w:tc>
      </w:tr>
      <w:tr w:rsidR="00650EF9">
        <w:tc>
          <w:tcPr>
            <w:tcW w:w="2269" w:type="dxa"/>
            <w:shd w:val="clear" w:color="auto" w:fill="EEECE1"/>
          </w:tcPr>
          <w:p w:rsidR="00650EF9" w:rsidRDefault="00066737">
            <w:pPr>
              <w:shd w:val="clear" w:color="auto" w:fill="EEECE1"/>
              <w:outlineLvl w:val="0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2. Меры социальной поддержки</w:t>
            </w:r>
          </w:p>
          <w:p w:rsidR="00650EF9" w:rsidRDefault="00650EF9">
            <w:pPr>
              <w:shd w:val="clear" w:color="auto" w:fill="EEECE1"/>
              <w:outlineLvl w:val="0"/>
              <w:rPr>
                <w:color w:val="632423"/>
                <w:szCs w:val="23"/>
              </w:rPr>
            </w:pPr>
          </w:p>
          <w:p w:rsidR="00650EF9" w:rsidRDefault="00066737">
            <w:pPr>
              <w:shd w:val="clear" w:color="auto" w:fill="EEECE1"/>
              <w:outlineLvl w:val="0"/>
              <w:rPr>
                <w:color w:val="632423"/>
                <w:szCs w:val="23"/>
              </w:rPr>
            </w:pPr>
            <w:r>
              <w:rPr>
                <w:b/>
                <w:color w:val="632423"/>
                <w:szCs w:val="23"/>
              </w:rPr>
              <w:t>Размер выплаты с</w:t>
            </w:r>
            <w:r>
              <w:rPr>
                <w:color w:val="632423"/>
                <w:szCs w:val="23"/>
              </w:rPr>
              <w:t xml:space="preserve"> </w:t>
            </w:r>
            <w:r>
              <w:rPr>
                <w:b/>
                <w:color w:val="632423"/>
                <w:szCs w:val="23"/>
              </w:rPr>
              <w:t>1 января 202</w:t>
            </w:r>
            <w:r w:rsidR="005F21F7">
              <w:rPr>
                <w:b/>
                <w:color w:val="632423"/>
                <w:szCs w:val="23"/>
              </w:rPr>
              <w:t>5</w:t>
            </w:r>
            <w:bookmarkStart w:id="0" w:name="_GoBack"/>
            <w:bookmarkEnd w:id="0"/>
            <w:r>
              <w:rPr>
                <w:b/>
                <w:color w:val="632423"/>
                <w:szCs w:val="23"/>
              </w:rPr>
              <w:t xml:space="preserve"> года</w:t>
            </w:r>
          </w:p>
          <w:p w:rsidR="00650EF9" w:rsidRDefault="00650EF9">
            <w:pPr>
              <w:shd w:val="clear" w:color="auto" w:fill="EEECE1"/>
              <w:rPr>
                <w:color w:val="632423"/>
                <w:szCs w:val="23"/>
              </w:rPr>
            </w:pPr>
          </w:p>
        </w:tc>
        <w:tc>
          <w:tcPr>
            <w:tcW w:w="8221" w:type="dxa"/>
            <w:shd w:val="clear" w:color="auto" w:fill="EEECE1"/>
          </w:tcPr>
          <w:p w:rsidR="00650EF9" w:rsidRDefault="00066737">
            <w:pPr>
              <w:shd w:val="clear" w:color="auto" w:fill="EEECE1"/>
              <w:ind w:firstLine="540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 xml:space="preserve">Ежемесячная денежная выплата в размере </w:t>
            </w:r>
            <w:r w:rsidR="005F21F7" w:rsidRPr="005F21F7">
              <w:rPr>
                <w:b/>
                <w:color w:val="632423"/>
                <w:szCs w:val="23"/>
              </w:rPr>
              <w:t>680,59</w:t>
            </w:r>
            <w:r>
              <w:rPr>
                <w:b/>
                <w:color w:val="632423"/>
                <w:szCs w:val="23"/>
              </w:rPr>
              <w:t xml:space="preserve"> руб.</w:t>
            </w:r>
            <w:r>
              <w:rPr>
                <w:color w:val="632423"/>
                <w:szCs w:val="23"/>
              </w:rPr>
              <w:t xml:space="preserve"> </w:t>
            </w:r>
          </w:p>
          <w:p w:rsidR="00650EF9" w:rsidRDefault="00650EF9">
            <w:pPr>
              <w:shd w:val="clear" w:color="auto" w:fill="EEECE1"/>
              <w:ind w:firstLine="540"/>
              <w:jc w:val="both"/>
              <w:rPr>
                <w:color w:val="632423"/>
                <w:szCs w:val="23"/>
              </w:rPr>
            </w:pPr>
          </w:p>
        </w:tc>
      </w:tr>
      <w:tr w:rsidR="00650EF9">
        <w:tc>
          <w:tcPr>
            <w:tcW w:w="2269" w:type="dxa"/>
            <w:shd w:val="clear" w:color="auto" w:fill="EEECE1"/>
          </w:tcPr>
          <w:p w:rsidR="00650EF9" w:rsidRDefault="00066737">
            <w:pPr>
              <w:shd w:val="clear" w:color="auto" w:fill="EEECE1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3. Куда обращаться</w:t>
            </w:r>
          </w:p>
        </w:tc>
        <w:tc>
          <w:tcPr>
            <w:tcW w:w="8221" w:type="dxa"/>
            <w:shd w:val="clear" w:color="auto" w:fill="FDE9D9"/>
          </w:tcPr>
          <w:p w:rsidR="00650EF9" w:rsidRDefault="005F21F7">
            <w:pPr>
              <w:shd w:val="clear" w:color="auto" w:fill="EEECE1"/>
              <w:ind w:firstLine="612"/>
              <w:jc w:val="both"/>
              <w:outlineLvl w:val="1"/>
              <w:rPr>
                <w:color w:val="632423"/>
                <w:szCs w:val="23"/>
              </w:rPr>
            </w:pPr>
            <w:r w:rsidRPr="005F21F7">
              <w:rPr>
                <w:color w:val="632423"/>
                <w:szCs w:val="23"/>
              </w:rPr>
              <w:t>В областное государственное бюджетное учреждение «Управление социальной защиты и социального обслуживания населения» по месту жительства или месту пребывания</w:t>
            </w:r>
            <w:r>
              <w:rPr>
                <w:color w:val="632423"/>
                <w:szCs w:val="23"/>
              </w:rPr>
              <w:t>.</w:t>
            </w:r>
          </w:p>
        </w:tc>
      </w:tr>
      <w:tr w:rsidR="00650EF9">
        <w:trPr>
          <w:trHeight w:val="508"/>
        </w:trPr>
        <w:tc>
          <w:tcPr>
            <w:tcW w:w="2269" w:type="dxa"/>
            <w:shd w:val="clear" w:color="auto" w:fill="EEECE1"/>
          </w:tcPr>
          <w:p w:rsidR="00650EF9" w:rsidRDefault="00066737">
            <w:pPr>
              <w:shd w:val="clear" w:color="auto" w:fill="EEECE1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4</w:t>
            </w:r>
            <w:r w:rsidRPr="00066737">
              <w:rPr>
                <w:color w:val="632423"/>
                <w:szCs w:val="23"/>
              </w:rPr>
              <w:t>. Документы (сведения), необходимые для назначения ежемесячной денежной выплаты</w:t>
            </w:r>
          </w:p>
        </w:tc>
        <w:tc>
          <w:tcPr>
            <w:tcW w:w="8221" w:type="dxa"/>
            <w:shd w:val="clear" w:color="auto" w:fill="FDE9D9"/>
          </w:tcPr>
          <w:p w:rsidR="00650EF9" w:rsidRDefault="00066737">
            <w:pPr>
              <w:shd w:val="clear" w:color="auto" w:fill="EEECE1"/>
              <w:ind w:firstLine="318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1) заявления о назначении ежемесячной денежной выплаты по утвержденной форме;</w:t>
            </w:r>
          </w:p>
          <w:p w:rsidR="00650EF9" w:rsidRDefault="00066737">
            <w:pPr>
              <w:shd w:val="clear" w:color="auto" w:fill="EEECE1"/>
              <w:ind w:firstLine="318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2) заявления о ежегодном подтверждении права на дальнейшее получение ежемесячной денежной выплаты, в котором сообщается о неполучении ежемесячной денежной выплаты в соответствии с другим нормативным правовым актом).</w:t>
            </w:r>
          </w:p>
          <w:p w:rsidR="00650EF9" w:rsidRDefault="00066737">
            <w:pPr>
              <w:shd w:val="clear" w:color="auto" w:fill="EEECE1"/>
              <w:ind w:firstLine="318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По результатам рассмотрения заявления ветерану труда Иркутской области, переехавшему на постоянное место жительства за пределы Иркутской области, направляется уведомление о предоставлении ежемесячной денежной выплаты с указанием срока предоставления ежемесячной денежной выплаты.</w:t>
            </w:r>
          </w:p>
          <w:p w:rsidR="00650EF9" w:rsidRDefault="00650EF9">
            <w:pPr>
              <w:shd w:val="clear" w:color="auto" w:fill="EEECE1"/>
              <w:ind w:firstLine="318"/>
              <w:jc w:val="both"/>
              <w:rPr>
                <w:color w:val="632423"/>
                <w:szCs w:val="23"/>
              </w:rPr>
            </w:pPr>
          </w:p>
          <w:p w:rsidR="00650EF9" w:rsidRDefault="00650EF9">
            <w:pPr>
              <w:shd w:val="clear" w:color="auto" w:fill="EEECE1"/>
              <w:ind w:firstLine="318"/>
              <w:jc w:val="both"/>
              <w:rPr>
                <w:color w:val="632423"/>
                <w:szCs w:val="23"/>
              </w:rPr>
            </w:pPr>
          </w:p>
        </w:tc>
      </w:tr>
      <w:tr w:rsidR="00650EF9">
        <w:tc>
          <w:tcPr>
            <w:tcW w:w="2269" w:type="dxa"/>
            <w:shd w:val="clear" w:color="auto" w:fill="EEECE1"/>
          </w:tcPr>
          <w:p w:rsidR="00650EF9" w:rsidRDefault="00066737">
            <w:pPr>
              <w:shd w:val="clear" w:color="auto" w:fill="EEECE1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5. Условия</w:t>
            </w:r>
          </w:p>
        </w:tc>
        <w:tc>
          <w:tcPr>
            <w:tcW w:w="8221" w:type="dxa"/>
            <w:shd w:val="clear" w:color="auto" w:fill="FDE9D9"/>
          </w:tcPr>
          <w:p w:rsidR="00650EF9" w:rsidRDefault="00066737">
            <w:pPr>
              <w:shd w:val="clear" w:color="auto" w:fill="EEECE1"/>
              <w:ind w:firstLine="463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Заявление о подтверждении права на дальнейшее получение ежемесячной денежной выплаты представляется в течение 3-х месяцев до истечения срока предоставления ежемесячной денежной выплаты.</w:t>
            </w:r>
          </w:p>
          <w:p w:rsidR="00650EF9" w:rsidRDefault="00066737">
            <w:pPr>
              <w:shd w:val="clear" w:color="auto" w:fill="EEECE1"/>
              <w:ind w:firstLine="463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В случае непредставления заявления о ежегодном подтверждении права на дальнейшее получение ежемесячной денежной выплаты по истечении срока предоставления указанной выплаты предоставление ежемесячной денежной выплаты прекращается. В таком случае ветеран труда Иркутской области, переехавший на постоянное место жительства за пределы Иркутской области, вправе вновь подать заявление о назначении ежемесячной денежной выплаты.</w:t>
            </w:r>
          </w:p>
          <w:p w:rsidR="00650EF9" w:rsidRDefault="00066737">
            <w:pPr>
              <w:shd w:val="clear" w:color="auto" w:fill="EEECE1"/>
              <w:ind w:firstLine="463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Предоставление ежемесячной денежной выплаты на основании заявления о назначении ежемесячной денежной выплаты осуществляется с первого числа месяца, следующего за месяцем подачи заявления.</w:t>
            </w:r>
          </w:p>
          <w:p w:rsidR="00650EF9" w:rsidRDefault="00066737">
            <w:pPr>
              <w:shd w:val="clear" w:color="auto" w:fill="EEECE1"/>
              <w:ind w:firstLine="463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 xml:space="preserve">Если ветеран труда Иркутской области, переехавший на постоянное место жительства за пределы Иркутской области, одновременно имеет право на одни и те же меры социальной поддержки по настоящему Закону и по другому правовому акту, меры социальной поддержки предоставляются по </w:t>
            </w:r>
            <w:r>
              <w:rPr>
                <w:color w:val="632423"/>
                <w:szCs w:val="23"/>
              </w:rPr>
              <w:lastRenderedPageBreak/>
              <w:t>выбору либо по настоящему Закону, либо по другому правовому акту.</w:t>
            </w:r>
          </w:p>
        </w:tc>
      </w:tr>
      <w:tr w:rsidR="00650EF9">
        <w:tc>
          <w:tcPr>
            <w:tcW w:w="2269" w:type="dxa"/>
            <w:shd w:val="clear" w:color="auto" w:fill="EEECE1"/>
          </w:tcPr>
          <w:p w:rsidR="00650EF9" w:rsidRDefault="00066737">
            <w:pPr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lastRenderedPageBreak/>
              <w:t>6. Периодичность предоставления денежных средств</w:t>
            </w:r>
          </w:p>
        </w:tc>
        <w:tc>
          <w:tcPr>
            <w:tcW w:w="8221" w:type="dxa"/>
            <w:shd w:val="clear" w:color="auto" w:fill="EEECE1"/>
          </w:tcPr>
          <w:p w:rsidR="00650EF9" w:rsidRDefault="00066737">
            <w:pPr>
              <w:ind w:firstLine="459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Ежемесячно путем зачисления денежных средств на счет гражданина, открытый в кредитной организации.</w:t>
            </w:r>
          </w:p>
          <w:p w:rsidR="00650EF9" w:rsidRDefault="00650EF9">
            <w:pPr>
              <w:ind w:firstLine="459"/>
              <w:jc w:val="both"/>
              <w:rPr>
                <w:color w:val="632423"/>
                <w:szCs w:val="23"/>
              </w:rPr>
            </w:pPr>
          </w:p>
        </w:tc>
      </w:tr>
      <w:tr w:rsidR="00650EF9">
        <w:tc>
          <w:tcPr>
            <w:tcW w:w="2269" w:type="dxa"/>
            <w:shd w:val="clear" w:color="auto" w:fill="EEECE1"/>
          </w:tcPr>
          <w:p w:rsidR="00650EF9" w:rsidRDefault="00066737">
            <w:pPr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7. Способы подачи заявления</w:t>
            </w:r>
          </w:p>
        </w:tc>
        <w:tc>
          <w:tcPr>
            <w:tcW w:w="8221" w:type="dxa"/>
            <w:shd w:val="clear" w:color="auto" w:fill="EEECE1"/>
          </w:tcPr>
          <w:p w:rsidR="00650EF9" w:rsidRDefault="00066737">
            <w:pPr>
              <w:ind w:firstLine="459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Заявление о назначении, заявление о подтверждении права на дальнейшее получение могут быть поданы одним из способов:</w:t>
            </w:r>
          </w:p>
          <w:p w:rsidR="00650EF9" w:rsidRDefault="00066737">
            <w:pPr>
              <w:ind w:firstLine="459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путем личного обращения в учреждение;</w:t>
            </w:r>
          </w:p>
          <w:p w:rsidR="00650EF9" w:rsidRDefault="00066737">
            <w:pPr>
              <w:ind w:firstLine="459"/>
              <w:jc w:val="both"/>
              <w:rPr>
                <w:color w:val="632423"/>
                <w:szCs w:val="23"/>
              </w:rPr>
            </w:pPr>
            <w:r>
              <w:rPr>
                <w:color w:val="632423"/>
                <w:szCs w:val="23"/>
              </w:rPr>
              <w:t>через организации почтовой связи.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632423"/>
                <w:szCs w:val="23"/>
              </w:rPr>
              <w:t>В этом случае, граждан направляет заявление, заверенное нотариусом или должностным лицом, уполномоченным в соответствии с действующим законодательством на совершение нотариальных действий</w:t>
            </w:r>
          </w:p>
          <w:p w:rsidR="00650EF9" w:rsidRDefault="00650EF9">
            <w:pPr>
              <w:ind w:firstLine="459"/>
              <w:jc w:val="both"/>
              <w:rPr>
                <w:color w:val="632423"/>
                <w:szCs w:val="23"/>
              </w:rPr>
            </w:pPr>
          </w:p>
        </w:tc>
      </w:tr>
    </w:tbl>
    <w:p w:rsidR="00762994" w:rsidRDefault="00762994"/>
    <w:sectPr w:rsidR="00762994">
      <w:pgSz w:w="11906" w:h="16838"/>
      <w:pgMar w:top="539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96" w:rsidRDefault="00D64C96">
      <w:r>
        <w:separator/>
      </w:r>
    </w:p>
  </w:endnote>
  <w:endnote w:type="continuationSeparator" w:id="0">
    <w:p w:rsidR="00D64C96" w:rsidRDefault="00D6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96" w:rsidRDefault="00D64C96">
      <w:r>
        <w:separator/>
      </w:r>
    </w:p>
  </w:footnote>
  <w:footnote w:type="continuationSeparator" w:id="0">
    <w:p w:rsidR="00D64C96" w:rsidRDefault="00D6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F9"/>
    <w:rsid w:val="00066737"/>
    <w:rsid w:val="005F21F7"/>
    <w:rsid w:val="00650EF9"/>
    <w:rsid w:val="00762994"/>
    <w:rsid w:val="00D6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36CBA-FCD8-4DA5-9245-E850AE3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Руми Михаил Александрович</cp:lastModifiedBy>
  <cp:revision>2</cp:revision>
  <dcterms:created xsi:type="dcterms:W3CDTF">2025-01-22T02:29:00Z</dcterms:created>
  <dcterms:modified xsi:type="dcterms:W3CDTF">2025-01-22T02:29:00Z</dcterms:modified>
  <cp:version>1048576</cp:version>
</cp:coreProperties>
</file>